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694"/>
        <w:gridCol w:w="1701"/>
        <w:gridCol w:w="1559"/>
        <w:gridCol w:w="1984"/>
      </w:tblGrid>
      <w:tr w:rsidR="00AF04FB" w:rsidRPr="00430FA8">
        <w:tc>
          <w:tcPr>
            <w:tcW w:w="113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bookmarkStart w:id="0" w:name="_GoBack"/>
            <w:bookmarkEnd w:id="0"/>
            <w:r w:rsidRPr="00430FA8">
              <w:rPr>
                <w:rFonts w:cs="Arial"/>
                <w:i w:val="0"/>
              </w:rPr>
              <w:t>Edição</w:t>
            </w:r>
          </w:p>
        </w:tc>
        <w:tc>
          <w:tcPr>
            <w:tcW w:w="269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Alteração</w:t>
            </w:r>
          </w:p>
        </w:tc>
        <w:tc>
          <w:tcPr>
            <w:tcW w:w="1701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Elaborado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Verificado</w:t>
            </w: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Aprovado</w:t>
            </w:r>
          </w:p>
        </w:tc>
      </w:tr>
      <w:tr w:rsidR="00AF04FB" w:rsidRPr="00430FA8">
        <w:tc>
          <w:tcPr>
            <w:tcW w:w="1134" w:type="dxa"/>
          </w:tcPr>
          <w:p w:rsidR="00AF04FB" w:rsidRPr="00430FA8" w:rsidRDefault="00B95ACE" w:rsidP="00AC212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JAN/2015</w:t>
            </w:r>
          </w:p>
        </w:tc>
        <w:tc>
          <w:tcPr>
            <w:tcW w:w="2694" w:type="dxa"/>
          </w:tcPr>
          <w:p w:rsidR="00AF04FB" w:rsidRPr="00430FA8" w:rsidRDefault="00B95ACE" w:rsidP="009E229E">
            <w:pPr>
              <w:pStyle w:val="Cabealho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 xml:space="preserve">Segunda </w:t>
            </w:r>
            <w:r w:rsidR="00AF04FB" w:rsidRPr="00430FA8">
              <w:rPr>
                <w:rFonts w:cs="Arial"/>
                <w:i w:val="0"/>
              </w:rPr>
              <w:t>emissão</w:t>
            </w:r>
          </w:p>
        </w:tc>
        <w:tc>
          <w:tcPr>
            <w:tcW w:w="1701" w:type="dxa"/>
          </w:tcPr>
          <w:p w:rsidR="00AF04FB" w:rsidRPr="00430FA8" w:rsidRDefault="00C7032E" w:rsidP="00BC1FC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Celso.cgo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</w:tr>
    </w:tbl>
    <w:p w:rsidR="006073D8" w:rsidRPr="00430FA8" w:rsidRDefault="006073D8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6073D8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1</w:t>
      </w:r>
      <w:r w:rsidRPr="00430FA8">
        <w:rPr>
          <w:b/>
          <w:i w:val="0"/>
          <w:sz w:val="32"/>
          <w:szCs w:val="32"/>
        </w:rPr>
        <w:tab/>
      </w:r>
      <w:r w:rsidR="006073D8" w:rsidRPr="00430FA8">
        <w:rPr>
          <w:b/>
          <w:i w:val="0"/>
          <w:sz w:val="32"/>
          <w:szCs w:val="32"/>
        </w:rPr>
        <w:t>Objetivo</w:t>
      </w:r>
    </w:p>
    <w:p w:rsidR="006073D8" w:rsidRPr="00430FA8" w:rsidRDefault="00FA6586" w:rsidP="00FA6586">
      <w:pPr>
        <w:widowControl w:val="0"/>
        <w:tabs>
          <w:tab w:val="left" w:pos="6763"/>
        </w:tabs>
        <w:ind w:left="851" w:hanging="851"/>
        <w:jc w:val="both"/>
        <w:rPr>
          <w:i w:val="0"/>
          <w:sz w:val="24"/>
          <w:szCs w:val="24"/>
        </w:rPr>
      </w:pPr>
      <w:r w:rsidRPr="00430FA8">
        <w:rPr>
          <w:i w:val="0"/>
          <w:sz w:val="24"/>
          <w:szCs w:val="24"/>
        </w:rPr>
        <w:tab/>
      </w:r>
      <w:r w:rsidRPr="00430FA8">
        <w:rPr>
          <w:i w:val="0"/>
          <w:sz w:val="24"/>
          <w:szCs w:val="24"/>
        </w:rPr>
        <w:tab/>
      </w:r>
    </w:p>
    <w:p w:rsidR="00983160" w:rsidRDefault="00381219" w:rsidP="00D11108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objetivo deste caderno é expor o método de cálculo da planilha orçamentária e do BDI do projeto para execução da Subestação de Tensão Primária de Distribuição do </w:t>
      </w:r>
      <w:r w:rsidR="0062766B">
        <w:rPr>
          <w:rFonts w:cs="Arial"/>
          <w:i w:val="0"/>
        </w:rPr>
        <w:t>complexo das unidades da Polícia Federal no Setor Policial Sul – Brasília/DF</w:t>
      </w:r>
      <w:r w:rsidR="00983160" w:rsidRPr="00983160">
        <w:rPr>
          <w:rFonts w:cs="Arial"/>
          <w:i w:val="0"/>
        </w:rPr>
        <w:t>.</w:t>
      </w:r>
    </w:p>
    <w:p w:rsidR="00381219" w:rsidRPr="00983160" w:rsidRDefault="00381219" w:rsidP="00D11108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Neste caderno encontram-se justificativas para a adoção do orçamento para a realização do mencionado projeto.</w:t>
      </w:r>
    </w:p>
    <w:p w:rsidR="006815CE" w:rsidRDefault="006815C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983160" w:rsidRPr="00430FA8" w:rsidRDefault="00983160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FC4D45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2</w:t>
      </w:r>
      <w:r w:rsidRPr="00430FA8">
        <w:rPr>
          <w:b/>
          <w:i w:val="0"/>
          <w:sz w:val="32"/>
          <w:szCs w:val="32"/>
        </w:rPr>
        <w:tab/>
      </w:r>
      <w:r w:rsidR="00FC4D45" w:rsidRPr="00430FA8">
        <w:rPr>
          <w:b/>
          <w:i w:val="0"/>
          <w:sz w:val="32"/>
          <w:szCs w:val="32"/>
        </w:rPr>
        <w:t>Definições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  <w:sz w:val="24"/>
          <w:szCs w:val="24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.1</w:t>
      </w:r>
      <w:r w:rsidR="00FC4D45" w:rsidRPr="00430FA8">
        <w:rPr>
          <w:b/>
          <w:i w:val="0"/>
          <w:sz w:val="24"/>
        </w:rPr>
        <w:tab/>
      </w:r>
      <w:r w:rsidR="004129BE">
        <w:rPr>
          <w:b/>
          <w:i w:val="0"/>
          <w:sz w:val="24"/>
        </w:rPr>
        <w:t>Bonificação e Despesas indiretas - BDI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4129BE">
        <w:rPr>
          <w:i w:val="0"/>
        </w:rPr>
        <w:t>O BDI é um valor percentual que é considerado para suprir as despesas indiretas e do lucro da empresa. Está incluso neste valor: os gastos com a administração central, as despesas financeiras, o valor dos seguros, riscos e garantias, as bonificações, honorários ou lucros percebidos pela contratada e os tributos pagos ao Estado.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.2</w:t>
      </w:r>
      <w:r w:rsidR="00FC4D45" w:rsidRPr="00430FA8">
        <w:rPr>
          <w:b/>
          <w:i w:val="0"/>
          <w:sz w:val="24"/>
        </w:rPr>
        <w:tab/>
      </w:r>
      <w:r w:rsidR="004129BE">
        <w:rPr>
          <w:b/>
          <w:i w:val="0"/>
          <w:sz w:val="24"/>
        </w:rPr>
        <w:t>Método da CEF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4129BE">
        <w:rPr>
          <w:i w:val="0"/>
        </w:rPr>
        <w:t>O método da Caixa Econômica Federal –CEF é um cálculo orçamentário muito utilizado</w:t>
      </w:r>
      <w:r w:rsidR="00A25C42">
        <w:rPr>
          <w:i w:val="0"/>
        </w:rPr>
        <w:t xml:space="preserve"> para se avaliar os custos referentes a realizações de projetos de edificações. Este método leva em consideração o Índice de Remuneração, o valor do CUB SINDISCON do estado e a área efetiva da construção.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.3</w:t>
      </w:r>
      <w:r w:rsidR="00FC4D45" w:rsidRPr="00430FA8">
        <w:rPr>
          <w:b/>
          <w:i w:val="0"/>
          <w:sz w:val="24"/>
        </w:rPr>
        <w:tab/>
      </w:r>
      <w:r w:rsidR="00A25C42">
        <w:rPr>
          <w:b/>
          <w:i w:val="0"/>
          <w:sz w:val="24"/>
        </w:rPr>
        <w:t>Área Efetiva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A0FAA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A25C42">
        <w:rPr>
          <w:i w:val="0"/>
        </w:rPr>
        <w:t>A área efetiva corresponde a uma valor correspondente ao da área real do projeto. Este conceito vem do fato de que quanto maior o tamanho do projeto, menor os custos por metro quadrado do mesmo, considerando idênticos graus de complexidade associados ao mesmo.</w:t>
      </w:r>
      <w:r w:rsidR="002A0FAA">
        <w:rPr>
          <w:i w:val="0"/>
        </w:rPr>
        <w:t xml:space="preserve"> Esta variável possui valor igual ou inferior ao da área da construção a ser projetada.</w:t>
      </w:r>
      <w:r w:rsidR="001555A7">
        <w:rPr>
          <w:i w:val="0"/>
        </w:rPr>
        <w:t xml:space="preserve"> O método de cálculo desta área seguiu as diretrizes sugeridas pela Caixa Econômica Federal.</w:t>
      </w:r>
    </w:p>
    <w:p w:rsidR="0077551E" w:rsidRPr="00430FA8" w:rsidRDefault="0077551E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.4</w:t>
      </w:r>
      <w:r w:rsidR="00FC4D45" w:rsidRPr="00430FA8">
        <w:rPr>
          <w:b/>
          <w:i w:val="0"/>
          <w:sz w:val="24"/>
        </w:rPr>
        <w:tab/>
      </w:r>
      <w:r w:rsidR="00EA0DB6">
        <w:rPr>
          <w:b/>
          <w:i w:val="0"/>
          <w:sz w:val="24"/>
        </w:rPr>
        <w:t>CUB SINDISCON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</w:rPr>
      </w:pPr>
    </w:p>
    <w:p w:rsidR="00FC4D45" w:rsidRDefault="00FC4D45" w:rsidP="00EA0DB6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DC6B28">
        <w:rPr>
          <w:i w:val="0"/>
        </w:rPr>
        <w:t xml:space="preserve">O Custo Unitário Básico –CUB corresponde </w:t>
      </w:r>
      <w:r w:rsidR="00CE4E79">
        <w:rPr>
          <w:i w:val="0"/>
        </w:rPr>
        <w:t>a dados oficiais alterados por lei para estimativa de gastos por metro quadrados na construção de edificações. O padrão utilizado foi o Comercial Salas e Lojas</w:t>
      </w:r>
      <w:r w:rsidR="00B95ACE">
        <w:rPr>
          <w:i w:val="0"/>
        </w:rPr>
        <w:t xml:space="preserve"> para grandes áreas construídas</w:t>
      </w:r>
      <w:r w:rsidR="00CE4E79">
        <w:rPr>
          <w:i w:val="0"/>
        </w:rPr>
        <w:t xml:space="preserve"> –CLS</w:t>
      </w:r>
      <w:r w:rsidR="00B95ACE">
        <w:rPr>
          <w:i w:val="0"/>
        </w:rPr>
        <w:t>-16</w:t>
      </w:r>
      <w:r w:rsidR="00CE4E79">
        <w:rPr>
          <w:i w:val="0"/>
        </w:rPr>
        <w:t>.</w:t>
      </w:r>
      <w:r w:rsidR="001555A7">
        <w:rPr>
          <w:i w:val="0"/>
        </w:rPr>
        <w:t xml:space="preserve"> Os valores mensais do CUB SINDISCON são encontrados no site: “cub.org.br”.</w:t>
      </w:r>
      <w:r w:rsidR="00B95ACE">
        <w:rPr>
          <w:i w:val="0"/>
        </w:rPr>
        <w:t xml:space="preserve"> Foi utilizado o valor correspondente ao mês de novembro, haja vista que ainda não há o valor de dezembro de 2014, no momento da realização do orçamento.</w:t>
      </w:r>
    </w:p>
    <w:p w:rsidR="00DC6B28" w:rsidRDefault="00B95ACE" w:rsidP="00EA0DB6">
      <w:pPr>
        <w:widowControl w:val="0"/>
        <w:tabs>
          <w:tab w:val="left" w:pos="851"/>
        </w:tabs>
        <w:jc w:val="both"/>
        <w:rPr>
          <w:i w:val="0"/>
        </w:rPr>
      </w:pPr>
      <w:r w:rsidRPr="00B95ACE">
        <w:rPr>
          <w:i w:val="0"/>
          <w:noProof/>
          <w:lang w:eastAsia="zh-TW"/>
        </w:rPr>
        <w:lastRenderedPageBreak/>
        <w:drawing>
          <wp:inline distT="0" distB="0" distL="0" distR="0">
            <wp:extent cx="5760720" cy="6225646"/>
            <wp:effectExtent l="0" t="0" r="0" b="0"/>
            <wp:docPr id="4" name="Imagem 4" descr="C:\Users\celso.cgo\Desktop\CUB syndus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lso.cgo\Desktop\CUB syndusc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160" w:rsidRDefault="00983160" w:rsidP="00983160">
      <w:pPr>
        <w:pStyle w:val="PargrafodaLista"/>
        <w:rPr>
          <w:i w:val="0"/>
        </w:rPr>
      </w:pPr>
    </w:p>
    <w:p w:rsidR="00983160" w:rsidRPr="00430FA8" w:rsidRDefault="00983160" w:rsidP="00983160">
      <w:pPr>
        <w:widowControl w:val="0"/>
        <w:tabs>
          <w:tab w:val="left" w:pos="1134"/>
        </w:tabs>
        <w:ind w:left="851"/>
        <w:jc w:val="both"/>
        <w:rPr>
          <w:i w:val="0"/>
        </w:rPr>
      </w:pPr>
    </w:p>
    <w:p w:rsidR="00F87CD3" w:rsidRPr="00430FA8" w:rsidRDefault="001864E3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2.5</w:t>
      </w:r>
      <w:r w:rsidR="00F87CD3" w:rsidRPr="00430FA8">
        <w:rPr>
          <w:rFonts w:cs="Arial"/>
          <w:b/>
          <w:i w:val="0"/>
          <w:sz w:val="24"/>
          <w:szCs w:val="24"/>
        </w:rPr>
        <w:tab/>
      </w:r>
      <w:r w:rsidR="00CE4E79">
        <w:rPr>
          <w:rFonts w:cs="Arial"/>
          <w:b/>
          <w:i w:val="0"/>
          <w:sz w:val="24"/>
          <w:szCs w:val="24"/>
        </w:rPr>
        <w:t>CUB_C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E79" w:rsidP="001864E3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CUB da </w:t>
      </w:r>
      <w:r w:rsidR="001555A7">
        <w:rPr>
          <w:rFonts w:cs="Arial"/>
          <w:i w:val="0"/>
        </w:rPr>
        <w:t>CAIXA</w:t>
      </w:r>
      <w:r>
        <w:rPr>
          <w:rFonts w:cs="Arial"/>
          <w:i w:val="0"/>
        </w:rPr>
        <w:t xml:space="preserve"> (CUB_C) é o valor do CUB divulgado pelo SINDISCON multiplicado por uma unidade e sete dé</w:t>
      </w:r>
      <w:r w:rsidR="00D4108D">
        <w:rPr>
          <w:rFonts w:cs="Arial"/>
          <w:i w:val="0"/>
        </w:rPr>
        <w:t>cimos (1,7).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D4108D" w:rsidRPr="00430FA8" w:rsidRDefault="001864E3" w:rsidP="001864E3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2.6</w:t>
      </w:r>
      <w:r w:rsidRPr="00430FA8">
        <w:rPr>
          <w:rFonts w:cs="Arial"/>
          <w:b/>
          <w:i w:val="0"/>
          <w:sz w:val="24"/>
          <w:szCs w:val="24"/>
        </w:rPr>
        <w:tab/>
      </w:r>
      <w:r w:rsidR="00D4108D">
        <w:rPr>
          <w:rFonts w:cs="Arial"/>
          <w:b/>
          <w:i w:val="0"/>
          <w:sz w:val="24"/>
          <w:szCs w:val="24"/>
        </w:rPr>
        <w:t>CUB DEOB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D4108D" w:rsidP="001864E3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 CUB do DEOB é semelhante ao da caixa, mudando-se o fator multiplicativo para uma unidade a cinco décimos (1,5).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D4108D">
        <w:rPr>
          <w:rFonts w:cs="Arial"/>
          <w:b/>
          <w:i w:val="0"/>
          <w:sz w:val="24"/>
          <w:szCs w:val="24"/>
        </w:rPr>
        <w:t>Valor Unitário da Remuneração -VUR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F87CD3">
      <w:pPr>
        <w:ind w:firstLine="709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D4108D">
        <w:rPr>
          <w:rFonts w:cs="Arial"/>
          <w:i w:val="0"/>
        </w:rPr>
        <w:t>O valor unitário da remuneração corresponde ao custo da</w:t>
      </w:r>
      <w:r w:rsidR="002A0FAA">
        <w:rPr>
          <w:rFonts w:cs="Arial"/>
          <w:i w:val="0"/>
        </w:rPr>
        <w:t xml:space="preserve"> realização do projeto por metro quadrado. Este valor é o produto do CUB_C pelo IR</w:t>
      </w:r>
      <w:r w:rsidR="001555A7">
        <w:rPr>
          <w:rFonts w:cs="Arial"/>
          <w:i w:val="0"/>
        </w:rPr>
        <w:t xml:space="preserve"> (índice de remuneração)</w:t>
      </w:r>
      <w:r w:rsidR="002A0FAA">
        <w:rPr>
          <w:rFonts w:cs="Arial"/>
          <w:i w:val="0"/>
        </w:rPr>
        <w:t xml:space="preserve"> da CAIXA.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CE487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2A0FAA">
        <w:rPr>
          <w:rFonts w:cs="Arial"/>
          <w:b/>
          <w:i w:val="0"/>
          <w:sz w:val="24"/>
          <w:szCs w:val="24"/>
        </w:rPr>
        <w:t>Método DEOB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2A0FAA" w:rsidP="00F87CD3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Método semelhante ao da Caixa Econômica Federal levando-se em consideração, contudo, o CUB DEOB na realização do cálculo. Este é o método sugerido pelo Departamento de Polícia Federal.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1C2A3E" w:rsidRPr="00430FA8" w:rsidRDefault="001C2A3E" w:rsidP="0083196C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3</w:t>
      </w:r>
      <w:r w:rsidRPr="00430FA8">
        <w:rPr>
          <w:b/>
          <w:i w:val="0"/>
          <w:sz w:val="32"/>
          <w:szCs w:val="32"/>
        </w:rPr>
        <w:tab/>
      </w:r>
      <w:r w:rsidR="002A0FAA">
        <w:rPr>
          <w:b/>
          <w:i w:val="0"/>
          <w:sz w:val="32"/>
          <w:szCs w:val="32"/>
        </w:rPr>
        <w:t>Orçamento pelo Método da CAIXA</w:t>
      </w:r>
    </w:p>
    <w:p w:rsidR="001C2A3E" w:rsidRPr="00430FA8" w:rsidRDefault="001C2A3E" w:rsidP="001C2A3E">
      <w:pPr>
        <w:suppressAutoHyphens/>
        <w:ind w:left="709" w:hanging="709"/>
        <w:jc w:val="both"/>
        <w:rPr>
          <w:rFonts w:cs="Arial"/>
          <w:b/>
        </w:rPr>
      </w:pPr>
    </w:p>
    <w:p w:rsidR="001C2A3E" w:rsidRPr="00430FA8" w:rsidRDefault="001C2A3E" w:rsidP="00D11108">
      <w:pPr>
        <w:tabs>
          <w:tab w:val="left" w:pos="851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3.1 </w:t>
      </w:r>
      <w:r w:rsidRPr="00430FA8">
        <w:rPr>
          <w:rFonts w:cs="Arial"/>
          <w:b/>
          <w:i w:val="0"/>
          <w:sz w:val="24"/>
          <w:szCs w:val="24"/>
        </w:rPr>
        <w:tab/>
      </w:r>
      <w:r w:rsidR="00D11108" w:rsidRPr="00430FA8">
        <w:rPr>
          <w:rFonts w:cs="Arial"/>
          <w:b/>
          <w:i w:val="0"/>
          <w:sz w:val="24"/>
          <w:szCs w:val="24"/>
        </w:rPr>
        <w:tab/>
      </w:r>
      <w:r w:rsidR="00C87652">
        <w:rPr>
          <w:rFonts w:cs="Arial"/>
          <w:b/>
          <w:i w:val="0"/>
          <w:sz w:val="24"/>
          <w:szCs w:val="24"/>
        </w:rPr>
        <w:t>Custo do Projeto</w:t>
      </w:r>
      <w:r w:rsidR="008E0CB0">
        <w:rPr>
          <w:rFonts w:cs="Arial"/>
          <w:b/>
          <w:i w:val="0"/>
          <w:sz w:val="24"/>
          <w:szCs w:val="24"/>
        </w:rPr>
        <w:t xml:space="preserve"> (Despesas Diretas)</w:t>
      </w:r>
    </w:p>
    <w:p w:rsidR="001C2A3E" w:rsidRPr="00430FA8" w:rsidRDefault="001C2A3E" w:rsidP="001C2A3E">
      <w:pPr>
        <w:suppressAutoHyphens/>
        <w:jc w:val="both"/>
        <w:rPr>
          <w:rFonts w:cs="Arial"/>
          <w:b/>
          <w:i w:val="0"/>
        </w:rPr>
      </w:pPr>
    </w:p>
    <w:p w:rsidR="001555A7" w:rsidRDefault="002A0FAA" w:rsidP="001C2A3E">
      <w:pPr>
        <w:suppressAutoHyphens/>
        <w:ind w:firstLine="709"/>
        <w:jc w:val="both"/>
        <w:rPr>
          <w:rFonts w:cs="Arial"/>
          <w:i w:val="0"/>
        </w:rPr>
      </w:pPr>
      <w:r>
        <w:rPr>
          <w:rFonts w:cs="Arial"/>
          <w:i w:val="0"/>
        </w:rPr>
        <w:t>Por meio do método da CAIXA, encontrou-se um custo de R$ 42.389,51 (quarenta e dois mil, trezentos e oitenta e nove reais e cinquenta e um centavos)</w:t>
      </w:r>
      <w:r w:rsidR="001555A7">
        <w:rPr>
          <w:rFonts w:cs="Arial"/>
          <w:i w:val="0"/>
        </w:rPr>
        <w:t xml:space="preserve"> para a realização do projeto de reestruturação do sistema elétrico em tensão primária de distribuição no Setor Policial Sul</w:t>
      </w:r>
      <w:r>
        <w:rPr>
          <w:rFonts w:cs="Arial"/>
          <w:i w:val="0"/>
        </w:rPr>
        <w:t>.</w:t>
      </w:r>
      <w:r w:rsidR="001555A7">
        <w:rPr>
          <w:rFonts w:cs="Arial"/>
          <w:i w:val="0"/>
        </w:rPr>
        <w:t xml:space="preserve"> O custo encontrado não leva em consideração as bonificações e despesas indiretas.</w:t>
      </w:r>
    </w:p>
    <w:p w:rsidR="001555A7" w:rsidRDefault="001555A7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Default="001555A7" w:rsidP="001C2A3E">
      <w:pPr>
        <w:suppressAutoHyphens/>
        <w:ind w:firstLine="709"/>
        <w:jc w:val="both"/>
        <w:rPr>
          <w:rFonts w:cs="Arial"/>
          <w:i w:val="0"/>
        </w:rPr>
      </w:pPr>
      <w:r>
        <w:rPr>
          <w:rFonts w:cs="Arial"/>
          <w:i w:val="0"/>
        </w:rPr>
        <w:t>Este cálculo utilizou uma área efetiva igual 26.143,49 metros quadrados, sendo a área real igual 51.336,98 metros quadrados, conforme estipulação do projeto básico anterior para a mesma matéria.</w:t>
      </w:r>
    </w:p>
    <w:p w:rsidR="002A0FAA" w:rsidRPr="00430FA8" w:rsidRDefault="002A0FAA" w:rsidP="002A0FAA">
      <w:pPr>
        <w:suppressAutoHyphens/>
        <w:jc w:val="both"/>
        <w:rPr>
          <w:rFonts w:cs="Arial"/>
          <w:i w:val="0"/>
        </w:rPr>
      </w:pPr>
    </w:p>
    <w:p w:rsidR="001C2A3E" w:rsidRPr="00430FA8" w:rsidRDefault="001C2A3E" w:rsidP="00D11108">
      <w:pPr>
        <w:tabs>
          <w:tab w:val="left" w:pos="851"/>
        </w:tabs>
        <w:suppressAutoHyphens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3.2 </w:t>
      </w:r>
      <w:r w:rsidRPr="00430FA8">
        <w:rPr>
          <w:rFonts w:cs="Arial"/>
          <w:b/>
          <w:i w:val="0"/>
          <w:sz w:val="24"/>
          <w:szCs w:val="24"/>
        </w:rPr>
        <w:tab/>
      </w:r>
      <w:r w:rsidR="002A0FAA">
        <w:rPr>
          <w:rFonts w:cs="Arial"/>
          <w:b/>
          <w:i w:val="0"/>
          <w:sz w:val="24"/>
          <w:szCs w:val="24"/>
        </w:rPr>
        <w:t>Tabela Orçamentária</w:t>
      </w:r>
    </w:p>
    <w:p w:rsidR="001C2A3E" w:rsidRPr="00430FA8" w:rsidRDefault="001C2A3E" w:rsidP="00ED0C2D">
      <w:pPr>
        <w:suppressAutoHyphens/>
        <w:ind w:firstLine="709"/>
        <w:jc w:val="center"/>
        <w:rPr>
          <w:rFonts w:cs="Arial"/>
          <w:b/>
          <w:i w:val="0"/>
        </w:rPr>
      </w:pPr>
    </w:p>
    <w:p w:rsidR="001C2A3E" w:rsidRDefault="00B95ACE" w:rsidP="00B95AC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rPr>
          <w:rFonts w:cs="Arial"/>
          <w:i w:val="0"/>
        </w:rPr>
      </w:pPr>
      <w:r>
        <w:rPr>
          <w:noProof/>
          <w:lang w:eastAsia="zh-TW"/>
        </w:rPr>
        <w:drawing>
          <wp:inline distT="0" distB="0" distL="0" distR="0" wp14:anchorId="367ABA83" wp14:editId="034B805F">
            <wp:extent cx="5760720" cy="5918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ACE" w:rsidRDefault="00B95ACE" w:rsidP="00B95AC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rPr>
          <w:rFonts w:cs="Arial"/>
          <w:i w:val="0"/>
        </w:rPr>
      </w:pPr>
    </w:p>
    <w:tbl>
      <w:tblPr>
        <w:tblW w:w="46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1350"/>
        <w:gridCol w:w="1007"/>
        <w:gridCol w:w="1350"/>
      </w:tblGrid>
      <w:tr w:rsidR="002A0FAA" w:rsidRPr="002A0FAA" w:rsidTr="002A0FAA">
        <w:trPr>
          <w:trHeight w:val="315"/>
        </w:trPr>
        <w:tc>
          <w:tcPr>
            <w:tcW w:w="4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DCE4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CALCULO DA ÁREA EFETIVA DA CAIXA -CEF</w:t>
            </w:r>
          </w:p>
        </w:tc>
      </w:tr>
      <w:tr w:rsidR="002A0FAA" w:rsidRPr="002A0FAA" w:rsidTr="002A0FAA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ÁREA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FATOR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POND</w:t>
            </w:r>
          </w:p>
        </w:tc>
      </w:tr>
      <w:tr w:rsidR="002A0FAA" w:rsidRPr="002A0FAA" w:rsidTr="002A0FAA">
        <w:trPr>
          <w:trHeight w:val="300"/>
        </w:trPr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300</w:t>
            </w:r>
          </w:p>
        </w:tc>
      </w:tr>
      <w:tr w:rsidR="002A0FAA" w:rsidRPr="002A0FAA" w:rsidTr="002A0FAA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415</w:t>
            </w:r>
          </w:p>
        </w:tc>
      </w:tr>
      <w:tr w:rsidR="002A0FAA" w:rsidRPr="002A0FAA" w:rsidTr="002A0FAA">
        <w:trPr>
          <w:trHeight w:val="300"/>
        </w:trPr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&lt;1800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660</w:t>
            </w:r>
          </w:p>
        </w:tc>
      </w:tr>
      <w:tr w:rsidR="002A0FAA" w:rsidRPr="002A0FAA" w:rsidTr="002A0FAA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&gt;1800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49536,98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24768,49</w:t>
            </w:r>
          </w:p>
        </w:tc>
      </w:tr>
      <w:tr w:rsidR="002A0FAA" w:rsidRPr="002A0FAA" w:rsidTr="002A0FAA">
        <w:trPr>
          <w:trHeight w:val="315"/>
        </w:trPr>
        <w:tc>
          <w:tcPr>
            <w:tcW w:w="2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ÁREA CONSIDERADA</w:t>
            </w:r>
          </w:p>
        </w:tc>
        <w:tc>
          <w:tcPr>
            <w:tcW w:w="2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ÁREA EFETIVA</w:t>
            </w:r>
          </w:p>
        </w:tc>
      </w:tr>
      <w:tr w:rsidR="002A0FAA" w:rsidRPr="002A0FAA" w:rsidTr="002A0FAA">
        <w:trPr>
          <w:trHeight w:val="315"/>
        </w:trPr>
        <w:tc>
          <w:tcPr>
            <w:tcW w:w="22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51</w:t>
            </w:r>
            <w:r w:rsidR="00B95ACE">
              <w:rPr>
                <w:rFonts w:ascii="Calibri" w:hAnsi="Calibri"/>
                <w:i w:val="0"/>
                <w:color w:val="000000"/>
                <w:sz w:val="22"/>
                <w:szCs w:val="22"/>
              </w:rPr>
              <w:t>.</w:t>
            </w:r>
            <w:r w:rsidRPr="002A0FAA">
              <w:rPr>
                <w:rFonts w:ascii="Calibri" w:hAnsi="Calibri"/>
                <w:i w:val="0"/>
                <w:color w:val="000000"/>
                <w:sz w:val="22"/>
                <w:szCs w:val="22"/>
              </w:rPr>
              <w:t>336,98</w:t>
            </w:r>
          </w:p>
        </w:tc>
        <w:tc>
          <w:tcPr>
            <w:tcW w:w="2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2A0FAA" w:rsidRPr="002A0FAA" w:rsidRDefault="002A0FAA" w:rsidP="00ED0C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26</w:t>
            </w:r>
            <w:r w:rsidR="00B95ACE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.</w:t>
            </w:r>
            <w:r w:rsidRPr="002A0FA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143,49</w:t>
            </w:r>
          </w:p>
        </w:tc>
      </w:tr>
    </w:tbl>
    <w:p w:rsidR="002A0FAA" w:rsidRPr="00430FA8" w:rsidRDefault="002A0FA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3B3FB1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lastRenderedPageBreak/>
        <w:t>4</w:t>
      </w:r>
      <w:r w:rsidRPr="00430FA8">
        <w:rPr>
          <w:b/>
          <w:i w:val="0"/>
          <w:sz w:val="32"/>
          <w:szCs w:val="32"/>
        </w:rPr>
        <w:tab/>
      </w:r>
      <w:r w:rsidR="00ED0C2D">
        <w:rPr>
          <w:b/>
          <w:i w:val="0"/>
          <w:sz w:val="32"/>
          <w:szCs w:val="32"/>
        </w:rPr>
        <w:t>Cálculo do BDI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765160" w:rsidP="00765160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4.1</w:t>
      </w:r>
      <w:r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Referência Normativa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429"/>
        <w:jc w:val="both"/>
        <w:rPr>
          <w:rFonts w:cs="Arial"/>
          <w:i w:val="0"/>
        </w:rPr>
      </w:pPr>
    </w:p>
    <w:p w:rsidR="001C2A3E" w:rsidRPr="00430FA8" w:rsidRDefault="001C2A3E" w:rsidP="00ED0C2D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ED0C2D">
        <w:rPr>
          <w:rFonts w:cs="Arial"/>
          <w:i w:val="0"/>
        </w:rPr>
        <w:t>Os parâmetros para as taxas do BDI consideradas no projeto estão de acordo com as t</w:t>
      </w:r>
      <w:r w:rsidR="005B31E0">
        <w:rPr>
          <w:rFonts w:cs="Arial"/>
          <w:i w:val="0"/>
        </w:rPr>
        <w:t>abelas do acordão 2.369/2011, do</w:t>
      </w:r>
      <w:r w:rsidR="00ED0C2D">
        <w:rPr>
          <w:rFonts w:cs="Arial"/>
          <w:i w:val="0"/>
        </w:rPr>
        <w:t xml:space="preserve"> 325/2007</w:t>
      </w:r>
      <w:r w:rsidR="005B31E0">
        <w:rPr>
          <w:rFonts w:cs="Arial"/>
          <w:i w:val="0"/>
        </w:rPr>
        <w:t xml:space="preserve"> e do 2.622/2013 do</w:t>
      </w:r>
      <w:r w:rsidR="00ED0C2D">
        <w:rPr>
          <w:rFonts w:cs="Arial"/>
          <w:i w:val="0"/>
        </w:rPr>
        <w:t xml:space="preserve"> Tribunal de Contas da União –TCU.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4C080C">
        <w:rPr>
          <w:rFonts w:cs="Arial"/>
          <w:b/>
          <w:i w:val="0"/>
          <w:sz w:val="24"/>
          <w:szCs w:val="24"/>
        </w:rPr>
        <w:t>Administração Central (6,00</w:t>
      </w:r>
      <w:r w:rsidR="00ED0C2D">
        <w:rPr>
          <w:rFonts w:cs="Arial"/>
          <w:b/>
          <w:i w:val="0"/>
          <w:sz w:val="24"/>
          <w:szCs w:val="24"/>
        </w:rPr>
        <w:t>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ED0C2D" w:rsidRPr="00ED0C2D" w:rsidRDefault="00ED0C2D" w:rsidP="00ED0C2D">
      <w:pPr>
        <w:ind w:firstLine="720"/>
        <w:jc w:val="both"/>
        <w:rPr>
          <w:rFonts w:cs="Arial"/>
          <w:i w:val="0"/>
        </w:rPr>
      </w:pPr>
      <w:r w:rsidRPr="00ED0C2D">
        <w:rPr>
          <w:rFonts w:cs="Arial"/>
          <w:i w:val="0"/>
        </w:rPr>
        <w:t xml:space="preserve">A </w:t>
      </w:r>
      <w:r w:rsidR="004C080C">
        <w:rPr>
          <w:rFonts w:cs="Arial"/>
          <w:i w:val="0"/>
        </w:rPr>
        <w:t xml:space="preserve">taxa de </w:t>
      </w:r>
      <w:r w:rsidRPr="00ED0C2D">
        <w:rPr>
          <w:rFonts w:cs="Arial"/>
          <w:i w:val="0"/>
        </w:rPr>
        <w:t>administração central de uma empresa</w:t>
      </w:r>
      <w:r w:rsidR="004C080C">
        <w:rPr>
          <w:rFonts w:cs="Arial"/>
          <w:i w:val="0"/>
        </w:rPr>
        <w:t xml:space="preserve"> corresponde aos gastos com atividades com a administraç</w:t>
      </w:r>
      <w:r w:rsidR="006E7FE5">
        <w:rPr>
          <w:rFonts w:cs="Arial"/>
          <w:i w:val="0"/>
        </w:rPr>
        <w:t>ão da empresa</w:t>
      </w:r>
      <w:r w:rsidR="004C080C">
        <w:rPr>
          <w:rFonts w:cs="Arial"/>
          <w:i w:val="0"/>
        </w:rPr>
        <w:t>, incluindo áreas administrativas, financeiras, contábeis, de suprimentos, de recursos humanos.</w:t>
      </w:r>
      <w:r w:rsidRPr="00ED0C2D">
        <w:rPr>
          <w:rFonts w:cs="Arial"/>
          <w:i w:val="0"/>
        </w:rPr>
        <w:t xml:space="preserve"> </w:t>
      </w:r>
      <w:r w:rsidR="004C080C">
        <w:rPr>
          <w:rFonts w:cs="Arial"/>
          <w:i w:val="0"/>
        </w:rPr>
        <w:t>Os serviços de administração central inclui planejamento consultoria, controle de qualidade, suporte aos contratos de construção.</w:t>
      </w:r>
    </w:p>
    <w:p w:rsidR="00ED0C2D" w:rsidRPr="00ED0C2D" w:rsidRDefault="00ED0C2D" w:rsidP="00ED0C2D">
      <w:pPr>
        <w:jc w:val="both"/>
        <w:rPr>
          <w:rFonts w:cs="Arial"/>
          <w:i w:val="0"/>
        </w:rPr>
      </w:pPr>
    </w:p>
    <w:p w:rsidR="00ED0C2D" w:rsidRPr="00ED0C2D" w:rsidRDefault="004C080C" w:rsidP="00ED0C2D">
      <w:pPr>
        <w:ind w:firstLine="720"/>
        <w:jc w:val="both"/>
        <w:rPr>
          <w:rFonts w:cs="Arial"/>
          <w:i w:val="0"/>
        </w:rPr>
      </w:pPr>
      <w:r>
        <w:rPr>
          <w:rFonts w:cs="Arial"/>
          <w:i w:val="0"/>
        </w:rPr>
        <w:t>Foi adotado uma taxa de seis por cento (6,00%) para a taxa de administração central.</w:t>
      </w:r>
    </w:p>
    <w:p w:rsidR="00250CA3" w:rsidRPr="00430FA8" w:rsidRDefault="00250CA3" w:rsidP="001C2A3E">
      <w:pPr>
        <w:jc w:val="both"/>
        <w:rPr>
          <w:rFonts w:cs="Arial"/>
          <w:i w:val="0"/>
        </w:rPr>
      </w:pP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Despesas Financeiras</w:t>
      </w:r>
      <w:r w:rsidR="00EF0F8B">
        <w:rPr>
          <w:rFonts w:cs="Arial"/>
          <w:b/>
          <w:i w:val="0"/>
          <w:sz w:val="24"/>
          <w:szCs w:val="24"/>
        </w:rPr>
        <w:t xml:space="preserve"> (1,02%)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1C2A3E" w:rsidRDefault="001C2A3E" w:rsidP="002D334D">
      <w:pPr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="0015132F">
        <w:rPr>
          <w:rFonts w:cs="Arial"/>
          <w:i w:val="0"/>
        </w:rPr>
        <w:t>Despesas financeiras são gastos relacionados ao custo do capital decorrente da necessidade de financiamento exigida pe</w:t>
      </w:r>
      <w:r w:rsidR="00D8779F">
        <w:rPr>
          <w:rFonts w:cs="Arial"/>
          <w:i w:val="0"/>
        </w:rPr>
        <w:t>lo fluxo de caixa da obra, sendo correspondente à perda monetária decorrente da defasagem, devido à desvalorização da moeda, entre a data do desembolso e a data do recebimento dos serviços prestados.</w:t>
      </w:r>
    </w:p>
    <w:p w:rsidR="00D8779F" w:rsidRDefault="00D8779F" w:rsidP="002D334D">
      <w:pPr>
        <w:jc w:val="both"/>
        <w:rPr>
          <w:rFonts w:cs="Arial"/>
          <w:i w:val="0"/>
        </w:rPr>
      </w:pPr>
    </w:p>
    <w:p w:rsidR="00D8779F" w:rsidRPr="00430FA8" w:rsidRDefault="00D8779F" w:rsidP="002D334D">
      <w:pPr>
        <w:jc w:val="both"/>
        <w:rPr>
          <w:rFonts w:cs="Arial"/>
          <w:i w:val="0"/>
        </w:rPr>
      </w:pPr>
      <w:r>
        <w:rPr>
          <w:rFonts w:cs="Arial"/>
          <w:i w:val="0"/>
        </w:rPr>
        <w:tab/>
        <w:t>Nas obras públicas de engenharia, as empresas são obrigadas a possuírem recursos financeiros para executar o serviço até que a etapa seja conclu</w:t>
      </w:r>
      <w:r w:rsidR="007F5A04">
        <w:rPr>
          <w:rFonts w:cs="Arial"/>
          <w:i w:val="0"/>
        </w:rPr>
        <w:t>ída e seja percebido</w:t>
      </w:r>
      <w:r>
        <w:rPr>
          <w:rFonts w:cs="Arial"/>
          <w:i w:val="0"/>
        </w:rPr>
        <w:t xml:space="preserve"> o valor corresponde a fase executada. Para se assegurar o equilíbrio financeiro, deve-se acrescentar um percentual que supra a desvalorização monetária</w:t>
      </w:r>
      <w:r w:rsidR="007F5A04">
        <w:rPr>
          <w:rFonts w:cs="Arial"/>
          <w:i w:val="0"/>
        </w:rPr>
        <w:t xml:space="preserve"> por meio de um valor monetário</w:t>
      </w:r>
      <w:r>
        <w:rPr>
          <w:rFonts w:cs="Arial"/>
          <w:i w:val="0"/>
        </w:rPr>
        <w:t xml:space="preserve"> </w:t>
      </w:r>
      <w:r w:rsidR="004A0CD6">
        <w:rPr>
          <w:rFonts w:cs="Arial"/>
          <w:i w:val="0"/>
        </w:rPr>
        <w:t>(</w:t>
      </w:r>
      <w:r>
        <w:rPr>
          <w:rFonts w:cs="Arial"/>
          <w:i w:val="0"/>
        </w:rPr>
        <w:t>pode ser a taxa SELIC</w:t>
      </w:r>
      <w:r w:rsidR="004A0CD6">
        <w:rPr>
          <w:rFonts w:cs="Arial"/>
          <w:i w:val="0"/>
        </w:rPr>
        <w:t>)</w:t>
      </w:r>
      <w:r w:rsidR="007F5A04">
        <w:rPr>
          <w:rFonts w:cs="Arial"/>
          <w:i w:val="0"/>
        </w:rPr>
        <w:t xml:space="preserve"> e pelo</w:t>
      </w:r>
      <w:r>
        <w:rPr>
          <w:rFonts w:cs="Arial"/>
          <w:i w:val="0"/>
        </w:rPr>
        <w:t xml:space="preserve"> tempo de execução do serviço.</w:t>
      </w:r>
    </w:p>
    <w:p w:rsidR="000633F6" w:rsidRDefault="000633F6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D8779F" w:rsidRDefault="00D8779F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EF0F8B">
        <w:rPr>
          <w:rFonts w:cs="Arial"/>
          <w:i w:val="0"/>
        </w:rPr>
        <w:t>Foi adotado um valor de 1,02% (um e dois centésimos por cento) para o parâmetro relativo a despesas financeiras.</w:t>
      </w:r>
    </w:p>
    <w:p w:rsidR="00D8779F" w:rsidRPr="00430FA8" w:rsidRDefault="00D8779F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67755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Seguros, Riscos e Garantias</w:t>
      </w:r>
      <w:r w:rsidR="00470D5B">
        <w:rPr>
          <w:rFonts w:cs="Arial"/>
          <w:b/>
          <w:i w:val="0"/>
          <w:sz w:val="24"/>
          <w:szCs w:val="24"/>
        </w:rPr>
        <w:t xml:space="preserve"> (1,6</w:t>
      </w:r>
      <w:r w:rsidR="004C080C">
        <w:rPr>
          <w:rFonts w:cs="Arial"/>
          <w:b/>
          <w:i w:val="0"/>
          <w:sz w:val="24"/>
          <w:szCs w:val="24"/>
        </w:rPr>
        <w:t>0%)</w:t>
      </w:r>
    </w:p>
    <w:p w:rsidR="00167755" w:rsidRPr="00430FA8" w:rsidRDefault="00167755" w:rsidP="00167755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527973" w:rsidRDefault="00167755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="004C080C">
        <w:rPr>
          <w:rFonts w:cs="Arial"/>
          <w:i w:val="0"/>
        </w:rPr>
        <w:t>No cálculo do BDI, deve-se levar em consideração os seguros, riscos e garantias para não acarretar prejuízos no equilíbrio financeiro da empresa.</w:t>
      </w:r>
    </w:p>
    <w:p w:rsidR="004C080C" w:rsidRDefault="004C080C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C080C" w:rsidRDefault="004C080C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4A5FAA">
        <w:rPr>
          <w:rFonts w:cs="Arial"/>
          <w:i w:val="0"/>
        </w:rPr>
        <w:t>Os riscos estão relacionados a eventos ou fatalidades futuras e incertas, oriundos de fontes internas e externas, que podem influenciar nos gastos e no tempo de execução de um serviço de uma empresa. Os riscos mais comuns em obras de engenharia são: de construção, de projeto, de erros de projeto, associados a fatos da administração e caso fortuito ou força maior.</w:t>
      </w: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Embora os riscos de construção e de caso furtuito ou força maior sejam improváveis de ocorrerem em projetos de engenharia, os riscos inerentes a projetos ou associados a fatos da administração são passíveis de ocorrerem neste tipo de serviço.</w:t>
      </w:r>
      <w:r w:rsidR="000171C5">
        <w:rPr>
          <w:rFonts w:cs="Arial"/>
          <w:i w:val="0"/>
        </w:rPr>
        <w:t xml:space="preserve"> Os parâmetros inerentes a riscos </w:t>
      </w:r>
      <w:r w:rsidR="0015132F">
        <w:rPr>
          <w:rFonts w:cs="Arial"/>
          <w:i w:val="0"/>
        </w:rPr>
        <w:t xml:space="preserve">de </w:t>
      </w:r>
      <w:r w:rsidR="000171C5">
        <w:rPr>
          <w:rFonts w:cs="Arial"/>
          <w:i w:val="0"/>
        </w:rPr>
        <w:t>projetos são vedados em caso da existência de aditivos; no entanto, na empreitada por preço global, dificilmente ocorre aditivos.</w:t>
      </w: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lastRenderedPageBreak/>
        <w:tab/>
      </w:r>
      <w:r w:rsidR="00747998">
        <w:rPr>
          <w:rFonts w:cs="Arial"/>
          <w:i w:val="0"/>
        </w:rPr>
        <w:t>A Garantia é uma estratégia de alocação de riscos, como medida, que visa assegurar o adequado adimplemento do contrato e a facilitar o ressarcimento de possíveis prejuízos a Administração Pública, na hipótese de inexecução do contrato. O contratado pode dar garantia a Administração por meio de fiança bancária ou seguro garantia, sendo um custo</w:t>
      </w:r>
      <w:r w:rsidR="00470D5B">
        <w:rPr>
          <w:rFonts w:cs="Arial"/>
          <w:i w:val="0"/>
        </w:rPr>
        <w:t xml:space="preserve"> que pode ser previsto no BDI.</w:t>
      </w:r>
    </w:p>
    <w:p w:rsidR="00F905E9" w:rsidRDefault="00F905E9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905E9" w:rsidRDefault="00F905E9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15132F">
        <w:rPr>
          <w:rFonts w:cs="Arial"/>
          <w:i w:val="0"/>
        </w:rPr>
        <w:t>Seguro é</w:t>
      </w:r>
      <w:r w:rsidR="00EF0F8B">
        <w:rPr>
          <w:rFonts w:cs="Arial"/>
          <w:i w:val="0"/>
        </w:rPr>
        <w:t xml:space="preserve"> um</w:t>
      </w:r>
      <w:r w:rsidR="0015132F">
        <w:rPr>
          <w:rFonts w:cs="Arial"/>
          <w:i w:val="0"/>
        </w:rPr>
        <w:t xml:space="preserve"> contrato regido entre a empresa contratada</w:t>
      </w:r>
      <w:r w:rsidR="00EF0F8B">
        <w:rPr>
          <w:rFonts w:cs="Arial"/>
          <w:i w:val="0"/>
        </w:rPr>
        <w:t xml:space="preserve"> pela Administração</w:t>
      </w:r>
      <w:r w:rsidR="0015132F">
        <w:rPr>
          <w:rFonts w:cs="Arial"/>
          <w:i w:val="0"/>
        </w:rPr>
        <w:t xml:space="preserve"> e a companhia seguradora, em que o segurador se compromete a reparar danos causados conforme especificado em contrato.</w:t>
      </w:r>
    </w:p>
    <w:p w:rsidR="0015132F" w:rsidRDefault="0015132F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15132F" w:rsidRDefault="0015132F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Os parâmetros correspondentes a seguro, risco e garantia são respectivamente: 0,30%, 1,00% e 0,30%, totalizando um total de um e seis décimos por cento (1,60%).</w:t>
      </w:r>
    </w:p>
    <w:p w:rsidR="004A5FAA" w:rsidRPr="00430FA8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</w:p>
    <w:p w:rsidR="001C2A3E" w:rsidRPr="00430FA8" w:rsidRDefault="001C2A3E" w:rsidP="00EF0F8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1C2A3E" w:rsidRPr="00430FA8" w:rsidRDefault="00C21CE5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Bonificações, Honorários ou Lucro</w:t>
      </w:r>
      <w:r w:rsidR="00D54591">
        <w:rPr>
          <w:rFonts w:cs="Arial"/>
          <w:b/>
          <w:i w:val="0"/>
          <w:sz w:val="24"/>
          <w:szCs w:val="24"/>
        </w:rPr>
        <w:t xml:space="preserve"> (8,50%)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Default="00EF0F8B" w:rsidP="00D4128B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A remuneração, bonificação ou honorários diz respeito a recompensa ou a premiação recebida pela contratada pela prestação do serviço requerido pela Administração. </w:t>
      </w:r>
      <w:r w:rsidR="00D54591">
        <w:rPr>
          <w:rFonts w:cs="Arial"/>
          <w:i w:val="0"/>
        </w:rPr>
        <w:t>O valor orçado do projeto deve estar compatível com os praticados no mercado.</w:t>
      </w:r>
    </w:p>
    <w:p w:rsidR="00D54591" w:rsidRDefault="00D54591" w:rsidP="00D4128B">
      <w:pPr>
        <w:ind w:firstLine="851"/>
        <w:jc w:val="both"/>
        <w:rPr>
          <w:rFonts w:cs="Arial"/>
          <w:i w:val="0"/>
        </w:rPr>
      </w:pPr>
    </w:p>
    <w:p w:rsidR="00D54591" w:rsidRPr="00430FA8" w:rsidRDefault="00D54591" w:rsidP="00D4128B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Foi adotada uma taxa de lucro de oito e meio por cento (8,5%). Foi escolhida uma taxa alta de lucro, em relação a variação admitida pelo TCU, devido a um baixo valor de custo do serviço. </w:t>
      </w:r>
    </w:p>
    <w:p w:rsidR="00187DFE" w:rsidRPr="00430FA8" w:rsidRDefault="00187DFE" w:rsidP="00FB648D">
      <w:pPr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Taxas de Tributos (Impostos)</w:t>
      </w:r>
      <w:r w:rsidR="009A72BE">
        <w:rPr>
          <w:rFonts w:cs="Arial"/>
          <w:b/>
          <w:i w:val="0"/>
          <w:sz w:val="24"/>
          <w:szCs w:val="24"/>
        </w:rPr>
        <w:t xml:space="preserve"> (5,65%)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Default="00F52266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A taxa de tributos corresponde a arrecadação monetária impostas pelo Governo. O ISS é devido ao município ou ao Distrito Federal, enquanto PIS e o CONFINS é devido a União.</w:t>
      </w: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 Imposto Sobre Serviço de Qualquer Natureza ISS, no Distrito Federal, é igual a dois por cento (2,00%); enquanto o Programa de Integração Social –PIS e a Contribuição Social para Financiamento da Seguridade Social –COFINS, no regime de incidência cumulativa, é de 0,65% e 3,00% respectivamente. A soma destes tributos é igual a cinco e sessenta e cinco centésimos por cento (5,65%).</w:t>
      </w: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4154EC" w:rsidRPr="00430FA8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São vedados, no cálculo do BDI, os valores relativos aos tributos IRPJ e CSLL e </w:t>
      </w:r>
      <w:r w:rsidR="007F5A04">
        <w:rPr>
          <w:rFonts w:cs="Arial"/>
          <w:i w:val="0"/>
        </w:rPr>
        <w:t xml:space="preserve">o </w:t>
      </w:r>
      <w:r>
        <w:rPr>
          <w:rFonts w:cs="Arial"/>
          <w:i w:val="0"/>
        </w:rPr>
        <w:t>CPMF foi revogado.</w:t>
      </w:r>
    </w:p>
    <w:p w:rsidR="00D97F5B" w:rsidRPr="00430FA8" w:rsidRDefault="00D97F5B" w:rsidP="00FB648D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8E0CB0">
        <w:rPr>
          <w:rFonts w:cs="Arial"/>
          <w:b/>
          <w:i w:val="0"/>
          <w:sz w:val="24"/>
          <w:szCs w:val="24"/>
        </w:rPr>
        <w:t>Cálculo do BDI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4154EC">
        <w:rPr>
          <w:rFonts w:cs="Arial"/>
          <w:i w:val="0"/>
        </w:rPr>
        <w:t>O valor do BDI para o projeto em questão foi de vinte e cinco e onze centésimos por cento (25,11%) conforme dados da tabela a seguir.</w:t>
      </w:r>
    </w:p>
    <w:p w:rsidR="004154EC" w:rsidRDefault="004154EC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tbl>
      <w:tblPr>
        <w:tblW w:w="75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1"/>
        <w:gridCol w:w="1023"/>
        <w:gridCol w:w="351"/>
        <w:gridCol w:w="1968"/>
        <w:gridCol w:w="351"/>
        <w:gridCol w:w="1920"/>
      </w:tblGrid>
      <w:tr w:rsidR="008E0CB0" w:rsidRPr="008E0CB0" w:rsidTr="008E0CB0">
        <w:trPr>
          <w:trHeight w:val="315"/>
        </w:trPr>
        <w:tc>
          <w:tcPr>
            <w:tcW w:w="75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DCE4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lastRenderedPageBreak/>
              <w:t>CALCULO DA BONIFICAÇÃO E DESPESAS INDIRETAS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SÍMBOLO</w:t>
            </w:r>
          </w:p>
        </w:tc>
        <w:tc>
          <w:tcPr>
            <w:tcW w:w="36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TAXA [%]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3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ADMINISTRAÇÃO CENTRAL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6,00%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DESPESAS FINANCEIRAS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1,02%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SEGUROS, RISCOS E GARANTIAS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1,60%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c1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SEGURO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0,30%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c2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RISCO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1,00%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c3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GARANTIA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0,30%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BONIFICAÇÕES, HONORÁRIOS, LUCRO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8,50%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E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TAXA DE TRIBUTOS (IMPOSTOS)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5,65%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e1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PIS/PASEP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0,65%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e2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COFINS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3,00%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e3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ISS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2,00%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e4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CPMF (VETADO)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0,00%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BDI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BONIFICAÇÃO E DESPESAS INDIRETAS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25,11%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BDI=</w:t>
            </w: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  <w:u w:val="single"/>
              </w:rPr>
              <w:t>(1+A)(1+B)(1+C)(1+D)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             </w:t>
            </w: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(1-E)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C=c1+c2+c3   E=e1+e2+e3+e4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00"/>
        </w:trPr>
        <w:tc>
          <w:tcPr>
            <w:tcW w:w="757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O VALOR DAS VARIÁVEIS DO BDI ESTÁ DE ACORDO COM O</w:t>
            </w:r>
          </w:p>
        </w:tc>
      </w:tr>
      <w:tr w:rsidR="008E0CB0" w:rsidRPr="008E0CB0" w:rsidTr="008E0CB0">
        <w:trPr>
          <w:trHeight w:val="300"/>
        </w:trPr>
        <w:tc>
          <w:tcPr>
            <w:tcW w:w="757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ACORDÃO NÚMERO 2.369/2011 E O 325/2007 DO TRIBUNAL</w:t>
            </w:r>
          </w:p>
        </w:tc>
      </w:tr>
      <w:tr w:rsidR="008E0CB0" w:rsidRPr="008E0CB0" w:rsidTr="008E0CB0">
        <w:trPr>
          <w:trHeight w:val="300"/>
        </w:trPr>
        <w:tc>
          <w:tcPr>
            <w:tcW w:w="333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DE CONTAS DA UNIÃO -TCU.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8E0CB0" w:rsidRPr="008E0CB0" w:rsidTr="008E0CB0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0CB0" w:rsidRPr="008E0CB0" w:rsidRDefault="008E0CB0" w:rsidP="008E0CB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8E0CB0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</w:tbl>
    <w:p w:rsidR="004154EC" w:rsidRDefault="004154EC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B0CA6" w:rsidRPr="00430FA8" w:rsidRDefault="002B0CA6" w:rsidP="002B0CA6">
      <w:pPr>
        <w:jc w:val="both"/>
        <w:rPr>
          <w:rFonts w:cs="Arial"/>
          <w:i w:val="0"/>
        </w:rPr>
      </w:pPr>
    </w:p>
    <w:p w:rsidR="002B0CA6" w:rsidRPr="00430FA8" w:rsidRDefault="002B0CA6" w:rsidP="0048702D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 xml:space="preserve">5 </w:t>
      </w:r>
      <w:r w:rsidR="0048702D" w:rsidRPr="00430FA8">
        <w:rPr>
          <w:b/>
          <w:i w:val="0"/>
          <w:sz w:val="32"/>
          <w:szCs w:val="32"/>
        </w:rPr>
        <w:tab/>
      </w:r>
      <w:r w:rsidR="008E0CB0">
        <w:rPr>
          <w:b/>
          <w:i w:val="0"/>
          <w:sz w:val="32"/>
          <w:szCs w:val="32"/>
        </w:rPr>
        <w:t>Valor Total do Projeto</w:t>
      </w:r>
    </w:p>
    <w:p w:rsidR="002B0CA6" w:rsidRDefault="002B0CA6" w:rsidP="002B0CA6">
      <w:pPr>
        <w:jc w:val="both"/>
        <w:rPr>
          <w:rFonts w:cs="Arial"/>
          <w:i w:val="0"/>
        </w:rPr>
      </w:pPr>
    </w:p>
    <w:p w:rsidR="006142C8" w:rsidRPr="00430FA8" w:rsidRDefault="006142C8" w:rsidP="002B0CA6">
      <w:pPr>
        <w:jc w:val="both"/>
        <w:rPr>
          <w:rFonts w:cs="Arial"/>
          <w:i w:val="0"/>
        </w:rPr>
      </w:pPr>
    </w:p>
    <w:p w:rsidR="00E708EC" w:rsidRPr="00E708EC" w:rsidRDefault="00E708EC" w:rsidP="00E708EC">
      <w:pPr>
        <w:widowControl w:val="0"/>
        <w:jc w:val="both"/>
        <w:rPr>
          <w:rFonts w:cs="Arial"/>
          <w:b/>
          <w:i w:val="0"/>
          <w:sz w:val="24"/>
          <w:szCs w:val="24"/>
        </w:rPr>
      </w:pPr>
      <w:r w:rsidRPr="00E708EC">
        <w:rPr>
          <w:rFonts w:cs="Arial"/>
          <w:b/>
          <w:i w:val="0"/>
          <w:sz w:val="24"/>
          <w:szCs w:val="24"/>
        </w:rPr>
        <w:t>5.1</w:t>
      </w:r>
      <w:r w:rsidRPr="00E708EC">
        <w:rPr>
          <w:rFonts w:cs="Arial"/>
          <w:b/>
          <w:i w:val="0"/>
          <w:sz w:val="24"/>
          <w:szCs w:val="24"/>
        </w:rPr>
        <w:tab/>
      </w:r>
      <w:r w:rsidR="008E0CB0">
        <w:rPr>
          <w:rFonts w:cs="Arial"/>
          <w:b/>
          <w:i w:val="0"/>
          <w:sz w:val="24"/>
          <w:szCs w:val="24"/>
        </w:rPr>
        <w:t>Orçamento Pelo Método da CAIXA</w:t>
      </w:r>
    </w:p>
    <w:p w:rsidR="00E708EC" w:rsidRPr="00E708EC" w:rsidRDefault="00E708EC" w:rsidP="00E708EC">
      <w:pPr>
        <w:widowControl w:val="0"/>
        <w:jc w:val="both"/>
        <w:rPr>
          <w:rFonts w:cs="Arial"/>
          <w:i w:val="0"/>
          <w:sz w:val="24"/>
          <w:szCs w:val="24"/>
        </w:rPr>
      </w:pPr>
    </w:p>
    <w:p w:rsidR="00E708EC" w:rsidRPr="00E708EC" w:rsidRDefault="008E0CB0" w:rsidP="00E708EC">
      <w:pPr>
        <w:ind w:firstLine="720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valor do projeto orçado pelo método da CAIXA, incluindo despesas diretas e indiretas e a bonificação (lucro) da empresa contrata é de </w:t>
      </w:r>
      <w:r w:rsidR="00B95ACE">
        <w:rPr>
          <w:rFonts w:cs="Arial"/>
          <w:i w:val="0"/>
        </w:rPr>
        <w:t>setenta mil e quatrocentos e sete reais e quatro centavos</w:t>
      </w:r>
      <w:r>
        <w:rPr>
          <w:rFonts w:cs="Arial"/>
          <w:i w:val="0"/>
        </w:rPr>
        <w:t xml:space="preserve"> </w:t>
      </w:r>
      <w:r w:rsidRPr="00B95ACE">
        <w:rPr>
          <w:rFonts w:cs="Arial"/>
          <w:i w:val="0"/>
          <w:highlight w:val="yellow"/>
        </w:rPr>
        <w:t>(</w:t>
      </w:r>
      <w:r w:rsidRPr="00B95ACE">
        <w:rPr>
          <w:rFonts w:cs="Arial"/>
          <w:b/>
          <w:i w:val="0"/>
          <w:highlight w:val="yellow"/>
          <w:u w:val="single"/>
        </w:rPr>
        <w:t xml:space="preserve">R$ </w:t>
      </w:r>
      <w:r w:rsidR="00B95ACE" w:rsidRPr="00B95ACE">
        <w:rPr>
          <w:rFonts w:cs="Arial"/>
          <w:b/>
          <w:i w:val="0"/>
          <w:highlight w:val="yellow"/>
          <w:u w:val="single"/>
        </w:rPr>
        <w:t>70.407,04</w:t>
      </w:r>
      <w:r w:rsidRPr="00B95ACE">
        <w:rPr>
          <w:rFonts w:cs="Arial"/>
          <w:i w:val="0"/>
          <w:highlight w:val="yellow"/>
        </w:rPr>
        <w:t>)</w:t>
      </w:r>
      <w:r w:rsidR="004545FA" w:rsidRPr="00B95ACE">
        <w:rPr>
          <w:rFonts w:cs="Arial"/>
          <w:i w:val="0"/>
          <w:highlight w:val="yellow"/>
        </w:rPr>
        <w:t>,</w:t>
      </w:r>
      <w:r>
        <w:rPr>
          <w:rFonts w:cs="Arial"/>
          <w:i w:val="0"/>
        </w:rPr>
        <w:t xml:space="preserve"> sendo R$ </w:t>
      </w:r>
      <w:r w:rsidR="00B95ACE">
        <w:rPr>
          <w:rFonts w:cs="Arial"/>
          <w:i w:val="0"/>
        </w:rPr>
        <w:t>56.275,75</w:t>
      </w:r>
      <w:r>
        <w:rPr>
          <w:rFonts w:cs="Arial"/>
          <w:i w:val="0"/>
        </w:rPr>
        <w:t xml:space="preserve"> de despesas diretas</w:t>
      </w:r>
      <w:r w:rsidR="004545FA">
        <w:rPr>
          <w:rFonts w:cs="Arial"/>
          <w:i w:val="0"/>
        </w:rPr>
        <w:t xml:space="preserve"> e R$ </w:t>
      </w:r>
      <w:r w:rsidR="00B95ACE">
        <w:rPr>
          <w:rFonts w:cs="Arial"/>
          <w:i w:val="0"/>
        </w:rPr>
        <w:t>14.131,29</w:t>
      </w:r>
      <w:r w:rsidR="004545FA">
        <w:rPr>
          <w:rFonts w:cs="Arial"/>
          <w:i w:val="0"/>
        </w:rPr>
        <w:t xml:space="preserve"> de despesas indiretas e com o lucro da contratada.</w:t>
      </w:r>
    </w:p>
    <w:p w:rsidR="00E708EC" w:rsidRPr="00E708EC" w:rsidRDefault="00E708EC" w:rsidP="00E708EC">
      <w:pPr>
        <w:jc w:val="both"/>
        <w:rPr>
          <w:rFonts w:cs="Arial"/>
          <w:i w:val="0"/>
        </w:rPr>
      </w:pPr>
    </w:p>
    <w:p w:rsidR="00DA1CBB" w:rsidRDefault="00DA1CBB" w:rsidP="00C10D09">
      <w:pPr>
        <w:jc w:val="both"/>
        <w:rPr>
          <w:rFonts w:cs="Arial"/>
        </w:rPr>
      </w:pPr>
    </w:p>
    <w:p w:rsidR="00C10D09" w:rsidRPr="00E708EC" w:rsidRDefault="00C10D09" w:rsidP="00C10D09">
      <w:pPr>
        <w:jc w:val="both"/>
        <w:rPr>
          <w:rFonts w:cs="Arial"/>
          <w:i w:val="0"/>
        </w:rPr>
      </w:pPr>
    </w:p>
    <w:p w:rsidR="009C0D17" w:rsidRDefault="009C0D17" w:rsidP="009C0D17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</w:p>
    <w:p w:rsidR="00F72592" w:rsidRDefault="00691CBC" w:rsidP="00274CDC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lastRenderedPageBreak/>
        <w:t>5</w:t>
      </w:r>
      <w:r w:rsidR="00F72592" w:rsidRPr="00430FA8">
        <w:rPr>
          <w:rFonts w:cs="Arial"/>
          <w:b/>
          <w:i w:val="0"/>
          <w:sz w:val="24"/>
          <w:szCs w:val="24"/>
        </w:rPr>
        <w:t>.</w:t>
      </w:r>
      <w:r w:rsidR="00C10D09">
        <w:rPr>
          <w:rFonts w:cs="Arial"/>
          <w:b/>
          <w:i w:val="0"/>
          <w:sz w:val="24"/>
          <w:szCs w:val="24"/>
        </w:rPr>
        <w:t>2</w:t>
      </w:r>
      <w:r w:rsidR="00F72592" w:rsidRPr="00430FA8">
        <w:rPr>
          <w:rFonts w:cs="Arial"/>
          <w:b/>
          <w:i w:val="0"/>
          <w:sz w:val="24"/>
          <w:szCs w:val="24"/>
        </w:rPr>
        <w:t xml:space="preserve"> 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="00274CDC" w:rsidRPr="00430FA8">
        <w:rPr>
          <w:rFonts w:cs="Arial"/>
          <w:b/>
          <w:i w:val="0"/>
          <w:sz w:val="24"/>
          <w:szCs w:val="24"/>
        </w:rPr>
        <w:tab/>
      </w:r>
      <w:r w:rsidR="007F5A04">
        <w:rPr>
          <w:rFonts w:cs="Arial"/>
          <w:b/>
          <w:i w:val="0"/>
          <w:sz w:val="24"/>
          <w:szCs w:val="24"/>
        </w:rPr>
        <w:t>ANEXO (ACORDÃO 2622/2013 TCU)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B06A5" w:rsidRDefault="007F5A04" w:rsidP="00FB06A5">
      <w:pPr>
        <w:jc w:val="both"/>
        <w:rPr>
          <w:rFonts w:cs="Arial"/>
          <w:i w:val="0"/>
        </w:rPr>
      </w:pPr>
      <w:r>
        <w:rPr>
          <w:noProof/>
          <w:lang w:eastAsia="zh-TW"/>
        </w:rPr>
        <w:drawing>
          <wp:inline distT="0" distB="0" distL="0" distR="0" wp14:anchorId="75073B2B" wp14:editId="71503C7D">
            <wp:extent cx="5760720" cy="5727700"/>
            <wp:effectExtent l="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D09" w:rsidRDefault="00C10D09" w:rsidP="00FB06A5">
      <w:pPr>
        <w:jc w:val="both"/>
        <w:rPr>
          <w:rFonts w:cs="Arial"/>
          <w:i w:val="0"/>
        </w:rPr>
      </w:pPr>
      <w:r>
        <w:rPr>
          <w:noProof/>
          <w:lang w:eastAsia="zh-TW"/>
        </w:rPr>
        <w:lastRenderedPageBreak/>
        <w:drawing>
          <wp:inline distT="0" distB="0" distL="0" distR="0" wp14:anchorId="6E64FA8B" wp14:editId="32ECA919">
            <wp:extent cx="5760720" cy="1969135"/>
            <wp:effectExtent l="0" t="0" r="0" b="0"/>
            <wp:docPr id="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D09" w:rsidRDefault="00C10D09" w:rsidP="00FB06A5">
      <w:pPr>
        <w:jc w:val="both"/>
        <w:rPr>
          <w:rFonts w:cs="Arial"/>
          <w:i w:val="0"/>
        </w:rPr>
      </w:pPr>
    </w:p>
    <w:p w:rsidR="007F5A04" w:rsidRDefault="007F5A04" w:rsidP="00FB06A5">
      <w:pPr>
        <w:jc w:val="both"/>
        <w:rPr>
          <w:rFonts w:cs="Arial"/>
          <w:i w:val="0"/>
        </w:rPr>
      </w:pPr>
      <w:r>
        <w:rPr>
          <w:noProof/>
          <w:lang w:eastAsia="zh-TW"/>
        </w:rPr>
        <w:drawing>
          <wp:inline distT="0" distB="0" distL="0" distR="0" wp14:anchorId="4FFED31D" wp14:editId="5D86D3B0">
            <wp:extent cx="5760720" cy="2000885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A04" w:rsidRDefault="007F5A04" w:rsidP="00FB06A5">
      <w:pPr>
        <w:jc w:val="both"/>
        <w:rPr>
          <w:rFonts w:cs="Arial"/>
          <w:i w:val="0"/>
        </w:rPr>
      </w:pPr>
    </w:p>
    <w:p w:rsidR="009F2D13" w:rsidRDefault="009F2D13" w:rsidP="009F2D13">
      <w:pPr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IMPORTANTE: Após a entrega e aprovação final dos projetos executivos, a propriedade intelectual destes pertencerá definitivamente ao Contratante.</w:t>
      </w:r>
    </w:p>
    <w:p w:rsidR="009278EA" w:rsidRDefault="009278EA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9F2D13">
      <w:pPr>
        <w:rPr>
          <w:rFonts w:cs="Arial"/>
          <w:i w:val="0"/>
        </w:rPr>
      </w:pPr>
    </w:p>
    <w:tbl>
      <w:tblPr>
        <w:tblW w:w="9495" w:type="dxa"/>
        <w:tblLook w:val="04A0" w:firstRow="1" w:lastRow="0" w:firstColumn="1" w:lastColumn="0" w:noHBand="0" w:noVBand="1"/>
      </w:tblPr>
      <w:tblGrid>
        <w:gridCol w:w="9495"/>
      </w:tblGrid>
      <w:tr w:rsidR="009F2D13" w:rsidTr="00CD0AC1">
        <w:tc>
          <w:tcPr>
            <w:tcW w:w="9495" w:type="dxa"/>
          </w:tcPr>
          <w:p w:rsidR="009F2D13" w:rsidRPr="00531BCA" w:rsidRDefault="009F2D13" w:rsidP="00CD0AC1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CELSO GARCIA DE OLIVEIRA</w:t>
            </w:r>
          </w:p>
          <w:p w:rsidR="009F2D13" w:rsidRPr="00DC0D99" w:rsidRDefault="009F2D13" w:rsidP="00CD0AC1">
            <w:pPr>
              <w:jc w:val="center"/>
              <w:rPr>
                <w:i w:val="0"/>
              </w:rPr>
            </w:pPr>
            <w:r>
              <w:t>Engenheiro Eletricista</w:t>
            </w:r>
          </w:p>
          <w:p w:rsidR="009F2D13" w:rsidRPr="00531BCA" w:rsidRDefault="009F2D13" w:rsidP="00CD0AC1">
            <w:pPr>
              <w:jc w:val="center"/>
              <w:rPr>
                <w:i w:val="0"/>
              </w:rPr>
            </w:pPr>
            <w:r w:rsidRPr="00DC0D99">
              <w:t xml:space="preserve">Matrícula </w:t>
            </w:r>
            <w:r>
              <w:t>20007</w:t>
            </w:r>
          </w:p>
        </w:tc>
      </w:tr>
    </w:tbl>
    <w:p w:rsidR="009F2D13" w:rsidRPr="00694BD4" w:rsidRDefault="009F2D13" w:rsidP="00FB06A5">
      <w:pPr>
        <w:jc w:val="both"/>
        <w:rPr>
          <w:rFonts w:cs="Arial"/>
          <w:i w:val="0"/>
        </w:rPr>
      </w:pPr>
    </w:p>
    <w:sectPr w:rsidR="009F2D13" w:rsidRPr="00694BD4" w:rsidSect="00046651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763" w:right="1134" w:bottom="1418" w:left="1701" w:header="1134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A7" w:rsidRDefault="001555A7">
      <w:r>
        <w:separator/>
      </w:r>
    </w:p>
  </w:endnote>
  <w:endnote w:type="continuationSeparator" w:id="0">
    <w:p w:rsidR="001555A7" w:rsidRDefault="0015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E2A5F" w:rsidRDefault="001555A7" w:rsidP="00D2380E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1555A7" w:rsidRPr="00D2380E" w:rsidRDefault="001555A7" w:rsidP="00D2380E">
    <w:pPr>
      <w:pStyle w:val="Rodap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E2A5F" w:rsidRDefault="001555A7" w:rsidP="00313D2C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1555A7" w:rsidRDefault="001555A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A7" w:rsidRDefault="001555A7">
      <w:r>
        <w:separator/>
      </w:r>
    </w:p>
  </w:footnote>
  <w:footnote w:type="continuationSeparator" w:id="0">
    <w:p w:rsidR="001555A7" w:rsidRDefault="0015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F04FB" w:rsidRDefault="001555A7" w:rsidP="00AC212F">
    <w:pPr>
      <w:rPr>
        <w:rFonts w:cs="Arial"/>
        <w:i w:val="0"/>
      </w:rPr>
    </w:pPr>
    <w:r>
      <w:rPr>
        <w:rFonts w:cs="Arial"/>
        <w:b/>
        <w:noProof/>
        <w:sz w:val="40"/>
        <w:szCs w:val="40"/>
        <w:lang w:eastAsia="zh-TW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2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483"/>
      <w:gridCol w:w="4448"/>
    </w:tblGrid>
    <w:tr w:rsidR="001555A7" w:rsidRPr="00CC6D53" w:rsidTr="009F2D13">
      <w:trPr>
        <w:trHeight w:val="242"/>
      </w:trPr>
      <w:tc>
        <w:tcPr>
          <w:tcW w:w="4483" w:type="dxa"/>
        </w:tcPr>
        <w:p w:rsidR="001555A7" w:rsidRPr="00CC6D53" w:rsidRDefault="001555A7" w:rsidP="00AC212F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1555A7" w:rsidRPr="00CC6D53" w:rsidRDefault="001555A7" w:rsidP="00AC212F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448" w:type="dxa"/>
        </w:tcPr>
        <w:p w:rsidR="001555A7" w:rsidRPr="00CC6D53" w:rsidRDefault="001555A7" w:rsidP="00AC212F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</w:t>
          </w:r>
          <w:r w:rsidR="009F2D13">
            <w:rPr>
              <w:rFonts w:cs="Arial"/>
              <w:b/>
              <w:i w:val="0"/>
              <w:sz w:val="28"/>
              <w:szCs w:val="28"/>
            </w:rPr>
            <w:t>II</w:t>
          </w:r>
          <w:r>
            <w:rPr>
              <w:rFonts w:cs="Arial"/>
              <w:b/>
              <w:i w:val="0"/>
              <w:sz w:val="28"/>
              <w:szCs w:val="28"/>
            </w:rPr>
            <w:t xml:space="preserve">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 xml:space="preserve">Caderno de </w:t>
          </w:r>
          <w:r w:rsidR="009F2D13">
            <w:rPr>
              <w:rFonts w:cs="Arial"/>
              <w:b/>
              <w:i w:val="0"/>
              <w:sz w:val="28"/>
              <w:szCs w:val="28"/>
            </w:rPr>
            <w:t>Orçamento e BDI</w:t>
          </w:r>
        </w:p>
        <w:p w:rsidR="001555A7" w:rsidRPr="00CC6D53" w:rsidRDefault="001555A7" w:rsidP="00AC212F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1555A7" w:rsidRPr="00AF04FB" w:rsidRDefault="001555A7" w:rsidP="00AC212F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1555A7" w:rsidRPr="00AF04FB" w:rsidTr="00AC212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1555A7" w:rsidRPr="00AF04FB" w:rsidRDefault="001555A7" w:rsidP="00ED750A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Adequação do Sistema Elétrico de Tensão Primária do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C</w:t>
          </w:r>
          <w:r>
            <w:rPr>
              <w:rFonts w:cs="Arial"/>
              <w:b/>
              <w:i w:val="0"/>
              <w:sz w:val="24"/>
              <w:szCs w:val="24"/>
            </w:rPr>
            <w:t>omplexo da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P</w:t>
          </w:r>
          <w:r>
            <w:rPr>
              <w:rFonts w:cs="Arial"/>
              <w:b/>
              <w:i w:val="0"/>
              <w:sz w:val="24"/>
              <w:szCs w:val="24"/>
            </w:rPr>
            <w:t>olícia Federal no Setor Policial Sul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– B</w:t>
          </w:r>
          <w:r>
            <w:rPr>
              <w:rFonts w:cs="Arial"/>
              <w:b/>
              <w:i w:val="0"/>
              <w:sz w:val="24"/>
              <w:szCs w:val="24"/>
            </w:rPr>
            <w:t>rasília</w:t>
          </w:r>
          <w:r w:rsidRPr="00F35F28">
            <w:rPr>
              <w:rFonts w:cs="Arial"/>
              <w:b/>
              <w:i w:val="0"/>
              <w:sz w:val="24"/>
              <w:szCs w:val="24"/>
            </w:rPr>
            <w:t>/DF</w:t>
          </w:r>
        </w:p>
      </w:tc>
      <w:tc>
        <w:tcPr>
          <w:tcW w:w="4300" w:type="dxa"/>
          <w:vAlign w:val="center"/>
        </w:tcPr>
        <w:p w:rsidR="001555A7" w:rsidRPr="00680C95" w:rsidRDefault="001555A7" w:rsidP="00277EBC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 w:rsidR="009F2D13">
            <w:rPr>
              <w:rFonts w:cs="Arial"/>
              <w:b/>
              <w:i w:val="0"/>
              <w:sz w:val="24"/>
              <w:szCs w:val="24"/>
            </w:rPr>
            <w:t>04</w:t>
          </w:r>
          <w:r w:rsidRPr="00680C95">
            <w:rPr>
              <w:rFonts w:cs="Arial"/>
              <w:b/>
              <w:i w:val="0"/>
              <w:sz w:val="24"/>
              <w:szCs w:val="24"/>
            </w:rPr>
            <w:t>/201</w:t>
          </w:r>
          <w:r>
            <w:rPr>
              <w:rFonts w:cs="Arial"/>
              <w:b/>
              <w:i w:val="0"/>
              <w:sz w:val="24"/>
              <w:szCs w:val="24"/>
            </w:rPr>
            <w:t>4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1555A7" w:rsidRPr="00AF04FB" w:rsidTr="00680C95">
      <w:trPr>
        <w:cantSplit/>
        <w:trHeight w:val="412"/>
      </w:trPr>
      <w:tc>
        <w:tcPr>
          <w:tcW w:w="4772" w:type="dxa"/>
          <w:vMerge/>
        </w:tcPr>
        <w:p w:rsidR="001555A7" w:rsidRPr="00AF04FB" w:rsidRDefault="001555A7" w:rsidP="00AC212F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1555A7" w:rsidRPr="00680C95" w:rsidRDefault="001555A7" w:rsidP="00680C95">
          <w:pPr>
            <w:jc w:val="center"/>
          </w:pPr>
          <w:r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924BF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 xml:space="preserve"> de </w:t>
          </w:r>
          <w:fldSimple w:instr=" NUMPAGES  ">
            <w:r w:rsidR="00F924BF">
              <w:rPr>
                <w:noProof/>
              </w:rPr>
              <w:t>8</w:t>
            </w:r>
          </w:fldSimple>
        </w:p>
      </w:tc>
    </w:tr>
  </w:tbl>
  <w:p w:rsidR="001555A7" w:rsidRPr="00AC212F" w:rsidRDefault="001555A7" w:rsidP="00AC212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F04FB" w:rsidRDefault="001555A7" w:rsidP="00CC49DA">
    <w:pPr>
      <w:rPr>
        <w:rFonts w:cs="Arial"/>
        <w:i w:val="0"/>
      </w:rPr>
    </w:pPr>
    <w:r>
      <w:rPr>
        <w:rFonts w:cs="Arial"/>
        <w:b/>
        <w:noProof/>
        <w:sz w:val="40"/>
        <w:szCs w:val="40"/>
        <w:lang w:eastAsia="zh-TW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1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483"/>
      <w:gridCol w:w="4591"/>
    </w:tblGrid>
    <w:tr w:rsidR="001555A7" w:rsidRPr="00CC6D53" w:rsidTr="00CC6D53">
      <w:trPr>
        <w:trHeight w:val="242"/>
      </w:trPr>
      <w:tc>
        <w:tcPr>
          <w:tcW w:w="4483" w:type="dxa"/>
        </w:tcPr>
        <w:p w:rsidR="001555A7" w:rsidRPr="00CC6D53" w:rsidRDefault="001555A7" w:rsidP="00CC6D53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1555A7" w:rsidRPr="00CC6D53" w:rsidRDefault="001555A7" w:rsidP="00CC6D53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1555A7" w:rsidRPr="00CC6D53" w:rsidRDefault="001555A7" w:rsidP="00EC4161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III – Caderno de Orçamento e Cálculo do BDI.</w:t>
          </w:r>
        </w:p>
        <w:p w:rsidR="001555A7" w:rsidRPr="00CC6D53" w:rsidRDefault="001555A7" w:rsidP="00AF04FB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1555A7" w:rsidRPr="00AF04FB" w:rsidRDefault="001555A7" w:rsidP="00AF04FB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1555A7" w:rsidRPr="00AF04FB" w:rsidTr="00BC1FC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1555A7" w:rsidRPr="00AF04FB" w:rsidRDefault="001555A7" w:rsidP="005F231E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Adequação do Sistema Elétrico de Tensão Primária do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C</w:t>
          </w:r>
          <w:r>
            <w:rPr>
              <w:rFonts w:cs="Arial"/>
              <w:b/>
              <w:i w:val="0"/>
              <w:sz w:val="24"/>
              <w:szCs w:val="24"/>
            </w:rPr>
            <w:t>omplexo da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P</w:t>
          </w:r>
          <w:r>
            <w:rPr>
              <w:rFonts w:cs="Arial"/>
              <w:b/>
              <w:i w:val="0"/>
              <w:sz w:val="24"/>
              <w:szCs w:val="24"/>
            </w:rPr>
            <w:t>olícia Federal no Setor Policial Sul</w:t>
          </w:r>
          <w:r w:rsidRPr="00F35F28">
            <w:rPr>
              <w:rFonts w:cs="Arial"/>
              <w:b/>
              <w:i w:val="0"/>
              <w:sz w:val="24"/>
              <w:szCs w:val="24"/>
            </w:rPr>
            <w:t xml:space="preserve"> – B</w:t>
          </w:r>
          <w:r>
            <w:rPr>
              <w:rFonts w:cs="Arial"/>
              <w:b/>
              <w:i w:val="0"/>
              <w:sz w:val="24"/>
              <w:szCs w:val="24"/>
            </w:rPr>
            <w:t>rasília</w:t>
          </w:r>
          <w:r w:rsidRPr="00F35F28">
            <w:rPr>
              <w:rFonts w:cs="Arial"/>
              <w:b/>
              <w:i w:val="0"/>
              <w:sz w:val="24"/>
              <w:szCs w:val="24"/>
            </w:rPr>
            <w:t>/DF</w:t>
          </w:r>
          <w:r>
            <w:rPr>
              <w:rFonts w:cs="Arial"/>
              <w:b/>
              <w:i w:val="0"/>
              <w:sz w:val="24"/>
              <w:szCs w:val="24"/>
            </w:rPr>
            <w:t xml:space="preserve"> </w:t>
          </w:r>
        </w:p>
      </w:tc>
      <w:tc>
        <w:tcPr>
          <w:tcW w:w="4300" w:type="dxa"/>
          <w:vAlign w:val="center"/>
        </w:tcPr>
        <w:p w:rsidR="001555A7" w:rsidRPr="00680C95" w:rsidRDefault="001555A7" w:rsidP="000D6F0B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0</w:t>
          </w:r>
          <w:r w:rsidR="009F2D13">
            <w:rPr>
              <w:rFonts w:cs="Arial"/>
              <w:b/>
              <w:i w:val="0"/>
              <w:sz w:val="24"/>
              <w:szCs w:val="24"/>
            </w:rPr>
            <w:t>4</w:t>
          </w:r>
          <w:r w:rsidRPr="00680C95">
            <w:rPr>
              <w:rFonts w:cs="Arial"/>
              <w:b/>
              <w:i w:val="0"/>
              <w:sz w:val="24"/>
              <w:szCs w:val="24"/>
            </w:rPr>
            <w:t>/201</w:t>
          </w:r>
          <w:r>
            <w:rPr>
              <w:rFonts w:cs="Arial"/>
              <w:b/>
              <w:i w:val="0"/>
              <w:sz w:val="24"/>
              <w:szCs w:val="24"/>
            </w:rPr>
            <w:t>4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1555A7" w:rsidRPr="00AF04FB" w:rsidTr="00680C95">
      <w:trPr>
        <w:cantSplit/>
        <w:trHeight w:val="412"/>
      </w:trPr>
      <w:tc>
        <w:tcPr>
          <w:tcW w:w="4772" w:type="dxa"/>
          <w:vMerge/>
        </w:tcPr>
        <w:p w:rsidR="001555A7" w:rsidRPr="00AF04FB" w:rsidRDefault="001555A7" w:rsidP="00701E12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1555A7" w:rsidRPr="00680C95" w:rsidRDefault="001555A7" w:rsidP="00680C95">
          <w:pPr>
            <w:jc w:val="center"/>
          </w:pPr>
          <w:r w:rsidRPr="00680C95"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924BF">
            <w:rPr>
              <w:noProof/>
            </w:rPr>
            <w:t>1</w:t>
          </w:r>
          <w:r>
            <w:rPr>
              <w:noProof/>
            </w:rPr>
            <w:fldChar w:fldCharType="end"/>
          </w:r>
          <w:r w:rsidRPr="00680C95">
            <w:t xml:space="preserve"> de </w:t>
          </w:r>
          <w:fldSimple w:instr=" NUMPAGES  ">
            <w:r w:rsidR="00F924BF">
              <w:rPr>
                <w:noProof/>
              </w:rPr>
              <w:t>8</w:t>
            </w:r>
          </w:fldSimple>
        </w:p>
      </w:tc>
    </w:tr>
  </w:tbl>
  <w:p w:rsidR="001555A7" w:rsidRDefault="001555A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993"/>
        </w:tabs>
        <w:ind w:left="993" w:hanging="283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3">
    <w:nsid w:val="00000031"/>
    <w:multiLevelType w:val="multilevel"/>
    <w:tmpl w:val="000000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>
    <w:nsid w:val="1D1E394C"/>
    <w:multiLevelType w:val="hybridMultilevel"/>
    <w:tmpl w:val="68C24E80"/>
    <w:lvl w:ilvl="0" w:tplc="0BD06446">
      <w:start w:val="1"/>
      <w:numFmt w:val="lowerLetter"/>
      <w:lvlText w:val="%1)"/>
      <w:lvlJc w:val="left"/>
      <w:pPr>
        <w:ind w:left="1699" w:hanging="990"/>
      </w:pPr>
      <w:rPr>
        <w:rFonts w:ascii="Arial" w:hAnsi="Arial" w:cs="Arial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75496"/>
    <w:multiLevelType w:val="multilevel"/>
    <w:tmpl w:val="7DB4CC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5D32DE"/>
    <w:multiLevelType w:val="hybridMultilevel"/>
    <w:tmpl w:val="6BB0A0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4C5469E4"/>
    <w:multiLevelType w:val="hybridMultilevel"/>
    <w:tmpl w:val="22A8E308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>
    <w:nsid w:val="54307641"/>
    <w:multiLevelType w:val="hybridMultilevel"/>
    <w:tmpl w:val="D3F873C6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F1A3AA7"/>
    <w:multiLevelType w:val="hybridMultilevel"/>
    <w:tmpl w:val="403E16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85006"/>
    <w:multiLevelType w:val="hybridMultilevel"/>
    <w:tmpl w:val="C54EDE84"/>
    <w:lvl w:ilvl="0" w:tplc="ABD804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07837DB"/>
    <w:multiLevelType w:val="hybridMultilevel"/>
    <w:tmpl w:val="0AC481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B7C4A"/>
    <w:multiLevelType w:val="hybridMultilevel"/>
    <w:tmpl w:val="0930EDB2"/>
    <w:lvl w:ilvl="0" w:tplc="998C051A">
      <w:start w:val="1"/>
      <w:numFmt w:val="lowerLetter"/>
      <w:lvlText w:val="%1)"/>
      <w:lvlJc w:val="left"/>
      <w:pPr>
        <w:ind w:left="1984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9" w:hanging="360"/>
      </w:pPr>
    </w:lvl>
    <w:lvl w:ilvl="2" w:tplc="0416001B" w:tentative="1">
      <w:start w:val="1"/>
      <w:numFmt w:val="lowerRoman"/>
      <w:lvlText w:val="%3."/>
      <w:lvlJc w:val="right"/>
      <w:pPr>
        <w:ind w:left="2659" w:hanging="180"/>
      </w:pPr>
    </w:lvl>
    <w:lvl w:ilvl="3" w:tplc="0416000F" w:tentative="1">
      <w:start w:val="1"/>
      <w:numFmt w:val="decimal"/>
      <w:lvlText w:val="%4."/>
      <w:lvlJc w:val="left"/>
      <w:pPr>
        <w:ind w:left="3379" w:hanging="360"/>
      </w:pPr>
    </w:lvl>
    <w:lvl w:ilvl="4" w:tplc="04160019" w:tentative="1">
      <w:start w:val="1"/>
      <w:numFmt w:val="lowerLetter"/>
      <w:lvlText w:val="%5."/>
      <w:lvlJc w:val="left"/>
      <w:pPr>
        <w:ind w:left="4099" w:hanging="360"/>
      </w:pPr>
    </w:lvl>
    <w:lvl w:ilvl="5" w:tplc="0416001B" w:tentative="1">
      <w:start w:val="1"/>
      <w:numFmt w:val="lowerRoman"/>
      <w:lvlText w:val="%6."/>
      <w:lvlJc w:val="right"/>
      <w:pPr>
        <w:ind w:left="4819" w:hanging="180"/>
      </w:pPr>
    </w:lvl>
    <w:lvl w:ilvl="6" w:tplc="0416000F" w:tentative="1">
      <w:start w:val="1"/>
      <w:numFmt w:val="decimal"/>
      <w:lvlText w:val="%7."/>
      <w:lvlJc w:val="left"/>
      <w:pPr>
        <w:ind w:left="5539" w:hanging="360"/>
      </w:pPr>
    </w:lvl>
    <w:lvl w:ilvl="7" w:tplc="04160019" w:tentative="1">
      <w:start w:val="1"/>
      <w:numFmt w:val="lowerLetter"/>
      <w:lvlText w:val="%8."/>
      <w:lvlJc w:val="left"/>
      <w:pPr>
        <w:ind w:left="6259" w:hanging="360"/>
      </w:pPr>
    </w:lvl>
    <w:lvl w:ilvl="8" w:tplc="0416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3">
    <w:nsid w:val="6610332D"/>
    <w:multiLevelType w:val="hybridMultilevel"/>
    <w:tmpl w:val="C19E536A"/>
    <w:lvl w:ilvl="0" w:tplc="6CAEB428">
      <w:start w:val="3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CC06A9E" w:tentative="1">
      <w:start w:val="1"/>
      <w:numFmt w:val="lowerLetter"/>
      <w:lvlText w:val="%2."/>
      <w:lvlJc w:val="left"/>
      <w:pPr>
        <w:ind w:left="1931" w:hanging="360"/>
      </w:pPr>
    </w:lvl>
    <w:lvl w:ilvl="2" w:tplc="8E944FBC" w:tentative="1">
      <w:start w:val="1"/>
      <w:numFmt w:val="lowerRoman"/>
      <w:lvlText w:val="%3."/>
      <w:lvlJc w:val="right"/>
      <w:pPr>
        <w:ind w:left="2651" w:hanging="180"/>
      </w:pPr>
    </w:lvl>
    <w:lvl w:ilvl="3" w:tplc="6D745EB2" w:tentative="1">
      <w:start w:val="1"/>
      <w:numFmt w:val="decimal"/>
      <w:lvlText w:val="%4."/>
      <w:lvlJc w:val="left"/>
      <w:pPr>
        <w:ind w:left="3371" w:hanging="360"/>
      </w:pPr>
    </w:lvl>
    <w:lvl w:ilvl="4" w:tplc="273C6F22" w:tentative="1">
      <w:start w:val="1"/>
      <w:numFmt w:val="lowerLetter"/>
      <w:lvlText w:val="%5."/>
      <w:lvlJc w:val="left"/>
      <w:pPr>
        <w:ind w:left="4091" w:hanging="360"/>
      </w:pPr>
    </w:lvl>
    <w:lvl w:ilvl="5" w:tplc="F70C5298" w:tentative="1">
      <w:start w:val="1"/>
      <w:numFmt w:val="lowerRoman"/>
      <w:lvlText w:val="%6."/>
      <w:lvlJc w:val="right"/>
      <w:pPr>
        <w:ind w:left="4811" w:hanging="180"/>
      </w:pPr>
    </w:lvl>
    <w:lvl w:ilvl="6" w:tplc="277886F4" w:tentative="1">
      <w:start w:val="1"/>
      <w:numFmt w:val="decimal"/>
      <w:lvlText w:val="%7."/>
      <w:lvlJc w:val="left"/>
      <w:pPr>
        <w:ind w:left="5531" w:hanging="360"/>
      </w:pPr>
    </w:lvl>
    <w:lvl w:ilvl="7" w:tplc="DB5E4FE6" w:tentative="1">
      <w:start w:val="1"/>
      <w:numFmt w:val="lowerLetter"/>
      <w:lvlText w:val="%8."/>
      <w:lvlJc w:val="left"/>
      <w:pPr>
        <w:ind w:left="6251" w:hanging="360"/>
      </w:pPr>
    </w:lvl>
    <w:lvl w:ilvl="8" w:tplc="8BF22D0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08568A"/>
    <w:multiLevelType w:val="multilevel"/>
    <w:tmpl w:val="864807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6E685B39"/>
    <w:multiLevelType w:val="hybridMultilevel"/>
    <w:tmpl w:val="04AECAC8"/>
    <w:lvl w:ilvl="0" w:tplc="F4A030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EFE4DB8"/>
    <w:multiLevelType w:val="hybridMultilevel"/>
    <w:tmpl w:val="F190BFE8"/>
    <w:lvl w:ilvl="0" w:tplc="A630EE9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24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2"/>
  </w:num>
  <w:num w:numId="19">
    <w:abstractNumId w:val="16"/>
  </w:num>
  <w:num w:numId="20">
    <w:abstractNumId w:val="22"/>
  </w:num>
  <w:num w:numId="21">
    <w:abstractNumId w:val="20"/>
  </w:num>
  <w:num w:numId="22">
    <w:abstractNumId w:val="25"/>
  </w:num>
  <w:num w:numId="23">
    <w:abstractNumId w:val="19"/>
  </w:num>
  <w:num w:numId="24">
    <w:abstractNumId w:val="1"/>
  </w:num>
  <w:num w:numId="25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45"/>
    <w:rsid w:val="00001A2C"/>
    <w:rsid w:val="0000421C"/>
    <w:rsid w:val="000057A1"/>
    <w:rsid w:val="00005873"/>
    <w:rsid w:val="00006F0E"/>
    <w:rsid w:val="000070B5"/>
    <w:rsid w:val="0000724F"/>
    <w:rsid w:val="000113A1"/>
    <w:rsid w:val="00011978"/>
    <w:rsid w:val="00016BE3"/>
    <w:rsid w:val="000171C5"/>
    <w:rsid w:val="00017C0D"/>
    <w:rsid w:val="00022FDF"/>
    <w:rsid w:val="00030399"/>
    <w:rsid w:val="00030445"/>
    <w:rsid w:val="000320AC"/>
    <w:rsid w:val="000339E5"/>
    <w:rsid w:val="00033C58"/>
    <w:rsid w:val="00034D85"/>
    <w:rsid w:val="0003609B"/>
    <w:rsid w:val="00036E92"/>
    <w:rsid w:val="0004168A"/>
    <w:rsid w:val="000457E6"/>
    <w:rsid w:val="00046651"/>
    <w:rsid w:val="000468C1"/>
    <w:rsid w:val="00046AC5"/>
    <w:rsid w:val="000503DF"/>
    <w:rsid w:val="00061B8C"/>
    <w:rsid w:val="000633F6"/>
    <w:rsid w:val="000674CC"/>
    <w:rsid w:val="0007272F"/>
    <w:rsid w:val="000762F2"/>
    <w:rsid w:val="00080220"/>
    <w:rsid w:val="00082872"/>
    <w:rsid w:val="00090659"/>
    <w:rsid w:val="00093AA7"/>
    <w:rsid w:val="000952AC"/>
    <w:rsid w:val="00096801"/>
    <w:rsid w:val="00097F0C"/>
    <w:rsid w:val="000A07CF"/>
    <w:rsid w:val="000A1539"/>
    <w:rsid w:val="000A24ED"/>
    <w:rsid w:val="000A29FB"/>
    <w:rsid w:val="000A363B"/>
    <w:rsid w:val="000A4E44"/>
    <w:rsid w:val="000A5CB4"/>
    <w:rsid w:val="000A65B5"/>
    <w:rsid w:val="000A7CF3"/>
    <w:rsid w:val="000A7FE0"/>
    <w:rsid w:val="000B04C1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32C0"/>
    <w:rsid w:val="000C4C48"/>
    <w:rsid w:val="000C5452"/>
    <w:rsid w:val="000D2061"/>
    <w:rsid w:val="000D6F0B"/>
    <w:rsid w:val="000E0B46"/>
    <w:rsid w:val="000E1F7F"/>
    <w:rsid w:val="000E364E"/>
    <w:rsid w:val="000E612C"/>
    <w:rsid w:val="000E64B2"/>
    <w:rsid w:val="000E7029"/>
    <w:rsid w:val="000F049D"/>
    <w:rsid w:val="000F2942"/>
    <w:rsid w:val="000F31A2"/>
    <w:rsid w:val="000F430F"/>
    <w:rsid w:val="000F50BF"/>
    <w:rsid w:val="000F5949"/>
    <w:rsid w:val="000F5BD4"/>
    <w:rsid w:val="00101FAB"/>
    <w:rsid w:val="00103A49"/>
    <w:rsid w:val="00105407"/>
    <w:rsid w:val="00105EF8"/>
    <w:rsid w:val="001071D8"/>
    <w:rsid w:val="001073AC"/>
    <w:rsid w:val="00110B91"/>
    <w:rsid w:val="00114451"/>
    <w:rsid w:val="0012125D"/>
    <w:rsid w:val="00121B00"/>
    <w:rsid w:val="001223ED"/>
    <w:rsid w:val="001228DC"/>
    <w:rsid w:val="00125DD8"/>
    <w:rsid w:val="00126C8F"/>
    <w:rsid w:val="0012785E"/>
    <w:rsid w:val="001348CD"/>
    <w:rsid w:val="00134B57"/>
    <w:rsid w:val="001360B4"/>
    <w:rsid w:val="001371B6"/>
    <w:rsid w:val="00140CE0"/>
    <w:rsid w:val="001446D4"/>
    <w:rsid w:val="001452B9"/>
    <w:rsid w:val="001467DC"/>
    <w:rsid w:val="0015132F"/>
    <w:rsid w:val="001555A7"/>
    <w:rsid w:val="001572F9"/>
    <w:rsid w:val="00161420"/>
    <w:rsid w:val="00162E8D"/>
    <w:rsid w:val="00163A12"/>
    <w:rsid w:val="0016686F"/>
    <w:rsid w:val="00167755"/>
    <w:rsid w:val="001715B3"/>
    <w:rsid w:val="001721DA"/>
    <w:rsid w:val="00174FF4"/>
    <w:rsid w:val="00175166"/>
    <w:rsid w:val="00175523"/>
    <w:rsid w:val="00177311"/>
    <w:rsid w:val="0018034C"/>
    <w:rsid w:val="001808EF"/>
    <w:rsid w:val="00185010"/>
    <w:rsid w:val="001864E3"/>
    <w:rsid w:val="00187DFE"/>
    <w:rsid w:val="001900E7"/>
    <w:rsid w:val="00191A17"/>
    <w:rsid w:val="00194379"/>
    <w:rsid w:val="00197B4E"/>
    <w:rsid w:val="00197DE6"/>
    <w:rsid w:val="001A2C4E"/>
    <w:rsid w:val="001A34C3"/>
    <w:rsid w:val="001A4571"/>
    <w:rsid w:val="001B1D74"/>
    <w:rsid w:val="001B2D5E"/>
    <w:rsid w:val="001B485F"/>
    <w:rsid w:val="001C00F9"/>
    <w:rsid w:val="001C10DD"/>
    <w:rsid w:val="001C2858"/>
    <w:rsid w:val="001C2A3E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E79C4"/>
    <w:rsid w:val="001F605E"/>
    <w:rsid w:val="001F655E"/>
    <w:rsid w:val="0020228D"/>
    <w:rsid w:val="00203977"/>
    <w:rsid w:val="002078F4"/>
    <w:rsid w:val="00210D96"/>
    <w:rsid w:val="00212585"/>
    <w:rsid w:val="00212E7E"/>
    <w:rsid w:val="00212F5D"/>
    <w:rsid w:val="002144E1"/>
    <w:rsid w:val="002151CB"/>
    <w:rsid w:val="002167EB"/>
    <w:rsid w:val="00216872"/>
    <w:rsid w:val="002208DC"/>
    <w:rsid w:val="00221CF3"/>
    <w:rsid w:val="00222ABB"/>
    <w:rsid w:val="00223432"/>
    <w:rsid w:val="0022481E"/>
    <w:rsid w:val="00226DB6"/>
    <w:rsid w:val="00230164"/>
    <w:rsid w:val="002309A2"/>
    <w:rsid w:val="00230C49"/>
    <w:rsid w:val="002314ED"/>
    <w:rsid w:val="00232426"/>
    <w:rsid w:val="00236897"/>
    <w:rsid w:val="0023726D"/>
    <w:rsid w:val="00237638"/>
    <w:rsid w:val="0024202E"/>
    <w:rsid w:val="00242A99"/>
    <w:rsid w:val="00244F0B"/>
    <w:rsid w:val="002462F7"/>
    <w:rsid w:val="00250CA3"/>
    <w:rsid w:val="00252121"/>
    <w:rsid w:val="00257E1B"/>
    <w:rsid w:val="002639E2"/>
    <w:rsid w:val="00266CAB"/>
    <w:rsid w:val="00274842"/>
    <w:rsid w:val="00274CDC"/>
    <w:rsid w:val="00276B0E"/>
    <w:rsid w:val="00277EBC"/>
    <w:rsid w:val="002800A9"/>
    <w:rsid w:val="0028205D"/>
    <w:rsid w:val="00282C53"/>
    <w:rsid w:val="00284272"/>
    <w:rsid w:val="00286EBA"/>
    <w:rsid w:val="00286FB6"/>
    <w:rsid w:val="00287A31"/>
    <w:rsid w:val="00290678"/>
    <w:rsid w:val="002918ED"/>
    <w:rsid w:val="00294022"/>
    <w:rsid w:val="00296155"/>
    <w:rsid w:val="002A0FAA"/>
    <w:rsid w:val="002A12A5"/>
    <w:rsid w:val="002A3FA7"/>
    <w:rsid w:val="002A3FEA"/>
    <w:rsid w:val="002A44DF"/>
    <w:rsid w:val="002A6493"/>
    <w:rsid w:val="002A64E4"/>
    <w:rsid w:val="002A7E55"/>
    <w:rsid w:val="002B0CA6"/>
    <w:rsid w:val="002B0D6E"/>
    <w:rsid w:val="002B2972"/>
    <w:rsid w:val="002B32B7"/>
    <w:rsid w:val="002B4A32"/>
    <w:rsid w:val="002B7B78"/>
    <w:rsid w:val="002C14FA"/>
    <w:rsid w:val="002C1A92"/>
    <w:rsid w:val="002C38E6"/>
    <w:rsid w:val="002C42E6"/>
    <w:rsid w:val="002C5182"/>
    <w:rsid w:val="002C5ED2"/>
    <w:rsid w:val="002C749A"/>
    <w:rsid w:val="002D2547"/>
    <w:rsid w:val="002D334D"/>
    <w:rsid w:val="002D6791"/>
    <w:rsid w:val="002D6FD5"/>
    <w:rsid w:val="002E0A69"/>
    <w:rsid w:val="002E300E"/>
    <w:rsid w:val="002E3458"/>
    <w:rsid w:val="002E453A"/>
    <w:rsid w:val="002F100B"/>
    <w:rsid w:val="002F2226"/>
    <w:rsid w:val="002F46EC"/>
    <w:rsid w:val="002F73CE"/>
    <w:rsid w:val="002F7A22"/>
    <w:rsid w:val="003106F7"/>
    <w:rsid w:val="00310D43"/>
    <w:rsid w:val="00313742"/>
    <w:rsid w:val="0031387F"/>
    <w:rsid w:val="00313D2C"/>
    <w:rsid w:val="00314E8E"/>
    <w:rsid w:val="0031667A"/>
    <w:rsid w:val="00316F2A"/>
    <w:rsid w:val="0032165F"/>
    <w:rsid w:val="003216FA"/>
    <w:rsid w:val="0032295C"/>
    <w:rsid w:val="00325ADF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3CA0"/>
    <w:rsid w:val="003470C4"/>
    <w:rsid w:val="0034711E"/>
    <w:rsid w:val="0034762A"/>
    <w:rsid w:val="00354186"/>
    <w:rsid w:val="00356A9E"/>
    <w:rsid w:val="00365422"/>
    <w:rsid w:val="003654C5"/>
    <w:rsid w:val="00366649"/>
    <w:rsid w:val="00370A47"/>
    <w:rsid w:val="00370CC6"/>
    <w:rsid w:val="00370D7A"/>
    <w:rsid w:val="00375844"/>
    <w:rsid w:val="003758B4"/>
    <w:rsid w:val="00377236"/>
    <w:rsid w:val="00381219"/>
    <w:rsid w:val="00386D09"/>
    <w:rsid w:val="00390564"/>
    <w:rsid w:val="0039220D"/>
    <w:rsid w:val="003943A9"/>
    <w:rsid w:val="00395A68"/>
    <w:rsid w:val="003A2DF1"/>
    <w:rsid w:val="003A2EF0"/>
    <w:rsid w:val="003A56CE"/>
    <w:rsid w:val="003A5AA6"/>
    <w:rsid w:val="003B0E61"/>
    <w:rsid w:val="003B173A"/>
    <w:rsid w:val="003B3FB1"/>
    <w:rsid w:val="003B7C44"/>
    <w:rsid w:val="003B7D61"/>
    <w:rsid w:val="003C1046"/>
    <w:rsid w:val="003C1BDD"/>
    <w:rsid w:val="003D4EBA"/>
    <w:rsid w:val="003E2535"/>
    <w:rsid w:val="003F0241"/>
    <w:rsid w:val="003F2026"/>
    <w:rsid w:val="003F21C7"/>
    <w:rsid w:val="004017FC"/>
    <w:rsid w:val="004017FD"/>
    <w:rsid w:val="00403DCF"/>
    <w:rsid w:val="00405F79"/>
    <w:rsid w:val="004129BE"/>
    <w:rsid w:val="00412B53"/>
    <w:rsid w:val="004154EC"/>
    <w:rsid w:val="00422A82"/>
    <w:rsid w:val="00425148"/>
    <w:rsid w:val="004252F5"/>
    <w:rsid w:val="004261FF"/>
    <w:rsid w:val="004305B0"/>
    <w:rsid w:val="00430FA8"/>
    <w:rsid w:val="00432AD9"/>
    <w:rsid w:val="004332F5"/>
    <w:rsid w:val="0044023B"/>
    <w:rsid w:val="00440777"/>
    <w:rsid w:val="00440937"/>
    <w:rsid w:val="00440BEB"/>
    <w:rsid w:val="00442DB6"/>
    <w:rsid w:val="0044497E"/>
    <w:rsid w:val="00450442"/>
    <w:rsid w:val="00451918"/>
    <w:rsid w:val="004521E9"/>
    <w:rsid w:val="0045295B"/>
    <w:rsid w:val="00453346"/>
    <w:rsid w:val="0045377C"/>
    <w:rsid w:val="00453F2C"/>
    <w:rsid w:val="004545FA"/>
    <w:rsid w:val="00465FDD"/>
    <w:rsid w:val="00470CD2"/>
    <w:rsid w:val="00470D5B"/>
    <w:rsid w:val="00471353"/>
    <w:rsid w:val="004726EE"/>
    <w:rsid w:val="00474014"/>
    <w:rsid w:val="00476348"/>
    <w:rsid w:val="004769DD"/>
    <w:rsid w:val="0047735E"/>
    <w:rsid w:val="00480519"/>
    <w:rsid w:val="0048091E"/>
    <w:rsid w:val="004816DD"/>
    <w:rsid w:val="004824C4"/>
    <w:rsid w:val="00484BE3"/>
    <w:rsid w:val="00484F32"/>
    <w:rsid w:val="00485BA2"/>
    <w:rsid w:val="0048702D"/>
    <w:rsid w:val="00487160"/>
    <w:rsid w:val="0049009A"/>
    <w:rsid w:val="00491A68"/>
    <w:rsid w:val="0049224B"/>
    <w:rsid w:val="0049228B"/>
    <w:rsid w:val="00493F96"/>
    <w:rsid w:val="004A0CD6"/>
    <w:rsid w:val="004A2175"/>
    <w:rsid w:val="004A3EE5"/>
    <w:rsid w:val="004A436D"/>
    <w:rsid w:val="004A44B5"/>
    <w:rsid w:val="004A5FAA"/>
    <w:rsid w:val="004A64CA"/>
    <w:rsid w:val="004A6A8F"/>
    <w:rsid w:val="004A7282"/>
    <w:rsid w:val="004B04EB"/>
    <w:rsid w:val="004B127D"/>
    <w:rsid w:val="004B710C"/>
    <w:rsid w:val="004C080C"/>
    <w:rsid w:val="004C284C"/>
    <w:rsid w:val="004C340B"/>
    <w:rsid w:val="004C3576"/>
    <w:rsid w:val="004C410A"/>
    <w:rsid w:val="004C6FA2"/>
    <w:rsid w:val="004C779F"/>
    <w:rsid w:val="004D0554"/>
    <w:rsid w:val="004D5F43"/>
    <w:rsid w:val="004E113B"/>
    <w:rsid w:val="004E14AE"/>
    <w:rsid w:val="004E24E5"/>
    <w:rsid w:val="004F23ED"/>
    <w:rsid w:val="004F2E01"/>
    <w:rsid w:val="004F4081"/>
    <w:rsid w:val="004F5339"/>
    <w:rsid w:val="004F6053"/>
    <w:rsid w:val="0050174F"/>
    <w:rsid w:val="005042C1"/>
    <w:rsid w:val="0050620A"/>
    <w:rsid w:val="00510B39"/>
    <w:rsid w:val="00510F77"/>
    <w:rsid w:val="00512890"/>
    <w:rsid w:val="00514AA5"/>
    <w:rsid w:val="005165AE"/>
    <w:rsid w:val="00522478"/>
    <w:rsid w:val="005273DA"/>
    <w:rsid w:val="005278DD"/>
    <w:rsid w:val="00527973"/>
    <w:rsid w:val="0053141A"/>
    <w:rsid w:val="00532FAA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54D59"/>
    <w:rsid w:val="00556AB4"/>
    <w:rsid w:val="005611B3"/>
    <w:rsid w:val="00561986"/>
    <w:rsid w:val="00564AC8"/>
    <w:rsid w:val="00570E73"/>
    <w:rsid w:val="0057156F"/>
    <w:rsid w:val="0057513B"/>
    <w:rsid w:val="005779CD"/>
    <w:rsid w:val="00581FCC"/>
    <w:rsid w:val="005825C7"/>
    <w:rsid w:val="00585674"/>
    <w:rsid w:val="00587330"/>
    <w:rsid w:val="0059569B"/>
    <w:rsid w:val="0059648A"/>
    <w:rsid w:val="005A1770"/>
    <w:rsid w:val="005A3DAF"/>
    <w:rsid w:val="005A53DA"/>
    <w:rsid w:val="005B0E77"/>
    <w:rsid w:val="005B1A29"/>
    <w:rsid w:val="005B2FF5"/>
    <w:rsid w:val="005B31E0"/>
    <w:rsid w:val="005B59B4"/>
    <w:rsid w:val="005B625E"/>
    <w:rsid w:val="005C15F1"/>
    <w:rsid w:val="005C3732"/>
    <w:rsid w:val="005C5877"/>
    <w:rsid w:val="005C6349"/>
    <w:rsid w:val="005D0425"/>
    <w:rsid w:val="005D454E"/>
    <w:rsid w:val="005D72A9"/>
    <w:rsid w:val="005E25AE"/>
    <w:rsid w:val="005E2820"/>
    <w:rsid w:val="005E6295"/>
    <w:rsid w:val="005E675E"/>
    <w:rsid w:val="005F231E"/>
    <w:rsid w:val="005F3FAF"/>
    <w:rsid w:val="005F4EDA"/>
    <w:rsid w:val="0060008A"/>
    <w:rsid w:val="0060010A"/>
    <w:rsid w:val="006010B0"/>
    <w:rsid w:val="00602EF1"/>
    <w:rsid w:val="00603558"/>
    <w:rsid w:val="0060483D"/>
    <w:rsid w:val="006072EF"/>
    <w:rsid w:val="006073D8"/>
    <w:rsid w:val="006117B7"/>
    <w:rsid w:val="00611C1B"/>
    <w:rsid w:val="006133DA"/>
    <w:rsid w:val="006142C8"/>
    <w:rsid w:val="00616D66"/>
    <w:rsid w:val="00617C26"/>
    <w:rsid w:val="006214EF"/>
    <w:rsid w:val="0062766B"/>
    <w:rsid w:val="006276EF"/>
    <w:rsid w:val="00631721"/>
    <w:rsid w:val="0063348E"/>
    <w:rsid w:val="0063596C"/>
    <w:rsid w:val="00636364"/>
    <w:rsid w:val="00637635"/>
    <w:rsid w:val="00640BEC"/>
    <w:rsid w:val="006430E1"/>
    <w:rsid w:val="006442BB"/>
    <w:rsid w:val="0064450E"/>
    <w:rsid w:val="0064572F"/>
    <w:rsid w:val="0064639E"/>
    <w:rsid w:val="0064717F"/>
    <w:rsid w:val="00647500"/>
    <w:rsid w:val="00647866"/>
    <w:rsid w:val="00651B46"/>
    <w:rsid w:val="00655C6F"/>
    <w:rsid w:val="00660137"/>
    <w:rsid w:val="0066065A"/>
    <w:rsid w:val="006607CD"/>
    <w:rsid w:val="0066377E"/>
    <w:rsid w:val="00663992"/>
    <w:rsid w:val="00666E7C"/>
    <w:rsid w:val="00670773"/>
    <w:rsid w:val="00672174"/>
    <w:rsid w:val="00672787"/>
    <w:rsid w:val="00672AA1"/>
    <w:rsid w:val="0067391A"/>
    <w:rsid w:val="00674136"/>
    <w:rsid w:val="006741FE"/>
    <w:rsid w:val="00675864"/>
    <w:rsid w:val="0067799A"/>
    <w:rsid w:val="00677B9D"/>
    <w:rsid w:val="00680C95"/>
    <w:rsid w:val="006815CE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489B"/>
    <w:rsid w:val="006B0709"/>
    <w:rsid w:val="006B0FC2"/>
    <w:rsid w:val="006B3584"/>
    <w:rsid w:val="006B435F"/>
    <w:rsid w:val="006B696B"/>
    <w:rsid w:val="006B6A50"/>
    <w:rsid w:val="006C0FA0"/>
    <w:rsid w:val="006C36A8"/>
    <w:rsid w:val="006C6014"/>
    <w:rsid w:val="006D02A4"/>
    <w:rsid w:val="006D0A61"/>
    <w:rsid w:val="006D0EE4"/>
    <w:rsid w:val="006D224E"/>
    <w:rsid w:val="006D35F0"/>
    <w:rsid w:val="006D4C95"/>
    <w:rsid w:val="006D55F5"/>
    <w:rsid w:val="006D7113"/>
    <w:rsid w:val="006D7C93"/>
    <w:rsid w:val="006E036D"/>
    <w:rsid w:val="006E06B2"/>
    <w:rsid w:val="006E1109"/>
    <w:rsid w:val="006E35D1"/>
    <w:rsid w:val="006E4D75"/>
    <w:rsid w:val="006E7BE9"/>
    <w:rsid w:val="006E7FE5"/>
    <w:rsid w:val="006F137D"/>
    <w:rsid w:val="006F20D8"/>
    <w:rsid w:val="006F2F25"/>
    <w:rsid w:val="006F3266"/>
    <w:rsid w:val="006F3921"/>
    <w:rsid w:val="006F5708"/>
    <w:rsid w:val="006F589E"/>
    <w:rsid w:val="006F7880"/>
    <w:rsid w:val="00700FC1"/>
    <w:rsid w:val="00701E12"/>
    <w:rsid w:val="007064F0"/>
    <w:rsid w:val="00706649"/>
    <w:rsid w:val="007071A8"/>
    <w:rsid w:val="00710AC7"/>
    <w:rsid w:val="00710E5E"/>
    <w:rsid w:val="0071336F"/>
    <w:rsid w:val="00714AC8"/>
    <w:rsid w:val="00717EE5"/>
    <w:rsid w:val="00721716"/>
    <w:rsid w:val="0072357F"/>
    <w:rsid w:val="00727359"/>
    <w:rsid w:val="007333DC"/>
    <w:rsid w:val="00734441"/>
    <w:rsid w:val="00734F2C"/>
    <w:rsid w:val="00736F1A"/>
    <w:rsid w:val="00747998"/>
    <w:rsid w:val="00750674"/>
    <w:rsid w:val="007511F9"/>
    <w:rsid w:val="0075162C"/>
    <w:rsid w:val="007518FF"/>
    <w:rsid w:val="007528DF"/>
    <w:rsid w:val="0075412F"/>
    <w:rsid w:val="00756B44"/>
    <w:rsid w:val="00764E7D"/>
    <w:rsid w:val="00765160"/>
    <w:rsid w:val="007667DC"/>
    <w:rsid w:val="00767615"/>
    <w:rsid w:val="0077327F"/>
    <w:rsid w:val="007741D7"/>
    <w:rsid w:val="007751BF"/>
    <w:rsid w:val="0077551E"/>
    <w:rsid w:val="007769C5"/>
    <w:rsid w:val="007773FA"/>
    <w:rsid w:val="00777987"/>
    <w:rsid w:val="00782287"/>
    <w:rsid w:val="007878CE"/>
    <w:rsid w:val="00791256"/>
    <w:rsid w:val="007918F7"/>
    <w:rsid w:val="00796CAE"/>
    <w:rsid w:val="007A0B25"/>
    <w:rsid w:val="007A15B4"/>
    <w:rsid w:val="007A16DF"/>
    <w:rsid w:val="007A2831"/>
    <w:rsid w:val="007A471E"/>
    <w:rsid w:val="007A4C08"/>
    <w:rsid w:val="007A67EB"/>
    <w:rsid w:val="007B2F3A"/>
    <w:rsid w:val="007B3AB2"/>
    <w:rsid w:val="007B6454"/>
    <w:rsid w:val="007B73E6"/>
    <w:rsid w:val="007C13DF"/>
    <w:rsid w:val="007C1AA2"/>
    <w:rsid w:val="007D0967"/>
    <w:rsid w:val="007D3B1D"/>
    <w:rsid w:val="007D42E4"/>
    <w:rsid w:val="007D4565"/>
    <w:rsid w:val="007D57F9"/>
    <w:rsid w:val="007D7BB1"/>
    <w:rsid w:val="007E0071"/>
    <w:rsid w:val="007E059A"/>
    <w:rsid w:val="007F5995"/>
    <w:rsid w:val="007F5A04"/>
    <w:rsid w:val="007F6419"/>
    <w:rsid w:val="0080171E"/>
    <w:rsid w:val="00801CA5"/>
    <w:rsid w:val="00802F16"/>
    <w:rsid w:val="00806F60"/>
    <w:rsid w:val="00813740"/>
    <w:rsid w:val="00813C7F"/>
    <w:rsid w:val="00822CEB"/>
    <w:rsid w:val="00824072"/>
    <w:rsid w:val="00824243"/>
    <w:rsid w:val="0082464F"/>
    <w:rsid w:val="008251E1"/>
    <w:rsid w:val="00825B42"/>
    <w:rsid w:val="00825B91"/>
    <w:rsid w:val="0083196C"/>
    <w:rsid w:val="00833BBF"/>
    <w:rsid w:val="00837A8A"/>
    <w:rsid w:val="00841DFF"/>
    <w:rsid w:val="0084396B"/>
    <w:rsid w:val="0084416A"/>
    <w:rsid w:val="00844C1C"/>
    <w:rsid w:val="008456AE"/>
    <w:rsid w:val="00847631"/>
    <w:rsid w:val="00847C26"/>
    <w:rsid w:val="00860564"/>
    <w:rsid w:val="00870438"/>
    <w:rsid w:val="0087278E"/>
    <w:rsid w:val="00874820"/>
    <w:rsid w:val="00874C60"/>
    <w:rsid w:val="00874E97"/>
    <w:rsid w:val="00875AB1"/>
    <w:rsid w:val="00877C0C"/>
    <w:rsid w:val="0088422A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2AAB"/>
    <w:rsid w:val="008B4D3C"/>
    <w:rsid w:val="008B6B36"/>
    <w:rsid w:val="008B7FD6"/>
    <w:rsid w:val="008C7AF5"/>
    <w:rsid w:val="008D1F0B"/>
    <w:rsid w:val="008D4F30"/>
    <w:rsid w:val="008D5772"/>
    <w:rsid w:val="008E082C"/>
    <w:rsid w:val="008E0CB0"/>
    <w:rsid w:val="008E1140"/>
    <w:rsid w:val="008E2DBB"/>
    <w:rsid w:val="008E46EA"/>
    <w:rsid w:val="008E63D3"/>
    <w:rsid w:val="008E6AED"/>
    <w:rsid w:val="008F4308"/>
    <w:rsid w:val="008F4FA1"/>
    <w:rsid w:val="008F50F8"/>
    <w:rsid w:val="008F5DEA"/>
    <w:rsid w:val="00901123"/>
    <w:rsid w:val="00902414"/>
    <w:rsid w:val="009025AD"/>
    <w:rsid w:val="00902C29"/>
    <w:rsid w:val="00903623"/>
    <w:rsid w:val="0090607B"/>
    <w:rsid w:val="00910387"/>
    <w:rsid w:val="00911C25"/>
    <w:rsid w:val="00914D50"/>
    <w:rsid w:val="00914E2A"/>
    <w:rsid w:val="00916191"/>
    <w:rsid w:val="00916F41"/>
    <w:rsid w:val="009214D4"/>
    <w:rsid w:val="009278EA"/>
    <w:rsid w:val="00935E0A"/>
    <w:rsid w:val="00936B0A"/>
    <w:rsid w:val="00936FEE"/>
    <w:rsid w:val="009406FB"/>
    <w:rsid w:val="00940AF7"/>
    <w:rsid w:val="00941001"/>
    <w:rsid w:val="00941640"/>
    <w:rsid w:val="009437E4"/>
    <w:rsid w:val="009438F9"/>
    <w:rsid w:val="00947EEF"/>
    <w:rsid w:val="0095327A"/>
    <w:rsid w:val="009548E0"/>
    <w:rsid w:val="00956434"/>
    <w:rsid w:val="0096297C"/>
    <w:rsid w:val="0096473E"/>
    <w:rsid w:val="00965B4D"/>
    <w:rsid w:val="0096661F"/>
    <w:rsid w:val="009713A2"/>
    <w:rsid w:val="009719A4"/>
    <w:rsid w:val="00972D99"/>
    <w:rsid w:val="009734C4"/>
    <w:rsid w:val="009751F3"/>
    <w:rsid w:val="00983160"/>
    <w:rsid w:val="009833A8"/>
    <w:rsid w:val="00983D39"/>
    <w:rsid w:val="00984295"/>
    <w:rsid w:val="009846AC"/>
    <w:rsid w:val="0098539C"/>
    <w:rsid w:val="009868FF"/>
    <w:rsid w:val="0099171F"/>
    <w:rsid w:val="009919A5"/>
    <w:rsid w:val="00992567"/>
    <w:rsid w:val="00993296"/>
    <w:rsid w:val="009A24A2"/>
    <w:rsid w:val="009A49D1"/>
    <w:rsid w:val="009A50B2"/>
    <w:rsid w:val="009A6C79"/>
    <w:rsid w:val="009A72BE"/>
    <w:rsid w:val="009B1074"/>
    <w:rsid w:val="009B1D99"/>
    <w:rsid w:val="009B2D23"/>
    <w:rsid w:val="009B7E34"/>
    <w:rsid w:val="009C0D17"/>
    <w:rsid w:val="009C1819"/>
    <w:rsid w:val="009C35E0"/>
    <w:rsid w:val="009C390F"/>
    <w:rsid w:val="009C3DC5"/>
    <w:rsid w:val="009D07A9"/>
    <w:rsid w:val="009D1143"/>
    <w:rsid w:val="009D3936"/>
    <w:rsid w:val="009D59D1"/>
    <w:rsid w:val="009D7311"/>
    <w:rsid w:val="009D79F3"/>
    <w:rsid w:val="009E229E"/>
    <w:rsid w:val="009E2C15"/>
    <w:rsid w:val="009F15AB"/>
    <w:rsid w:val="009F2D13"/>
    <w:rsid w:val="009F3EB7"/>
    <w:rsid w:val="009F40C7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714F"/>
    <w:rsid w:val="00A17BA2"/>
    <w:rsid w:val="00A252B1"/>
    <w:rsid w:val="00A25C42"/>
    <w:rsid w:val="00A303DE"/>
    <w:rsid w:val="00A3194F"/>
    <w:rsid w:val="00A3205A"/>
    <w:rsid w:val="00A337AE"/>
    <w:rsid w:val="00A35ED4"/>
    <w:rsid w:val="00A37122"/>
    <w:rsid w:val="00A37FA8"/>
    <w:rsid w:val="00A4173C"/>
    <w:rsid w:val="00A4418A"/>
    <w:rsid w:val="00A46D0E"/>
    <w:rsid w:val="00A47668"/>
    <w:rsid w:val="00A47FE3"/>
    <w:rsid w:val="00A53368"/>
    <w:rsid w:val="00A60B3E"/>
    <w:rsid w:val="00A620A8"/>
    <w:rsid w:val="00A628E9"/>
    <w:rsid w:val="00A63481"/>
    <w:rsid w:val="00A67510"/>
    <w:rsid w:val="00A67C05"/>
    <w:rsid w:val="00A67CC6"/>
    <w:rsid w:val="00A70430"/>
    <w:rsid w:val="00A70563"/>
    <w:rsid w:val="00A71FD7"/>
    <w:rsid w:val="00A734EA"/>
    <w:rsid w:val="00A73EDA"/>
    <w:rsid w:val="00A75881"/>
    <w:rsid w:val="00A83EC3"/>
    <w:rsid w:val="00A900A3"/>
    <w:rsid w:val="00A90F1D"/>
    <w:rsid w:val="00A91191"/>
    <w:rsid w:val="00A92736"/>
    <w:rsid w:val="00A929BB"/>
    <w:rsid w:val="00A93FCE"/>
    <w:rsid w:val="00A946E1"/>
    <w:rsid w:val="00A97EA9"/>
    <w:rsid w:val="00AA4508"/>
    <w:rsid w:val="00AA4BFB"/>
    <w:rsid w:val="00AA6BF8"/>
    <w:rsid w:val="00AA7BE9"/>
    <w:rsid w:val="00AB10A4"/>
    <w:rsid w:val="00AB26D5"/>
    <w:rsid w:val="00AB3CBC"/>
    <w:rsid w:val="00AC212F"/>
    <w:rsid w:val="00AC376E"/>
    <w:rsid w:val="00AC394E"/>
    <w:rsid w:val="00AC6D69"/>
    <w:rsid w:val="00AD00C6"/>
    <w:rsid w:val="00AD54D7"/>
    <w:rsid w:val="00AE2A5F"/>
    <w:rsid w:val="00AE2BB5"/>
    <w:rsid w:val="00AE3897"/>
    <w:rsid w:val="00AE4233"/>
    <w:rsid w:val="00AE5661"/>
    <w:rsid w:val="00AE6334"/>
    <w:rsid w:val="00AE667D"/>
    <w:rsid w:val="00AE66D9"/>
    <w:rsid w:val="00AE6F01"/>
    <w:rsid w:val="00AE79FF"/>
    <w:rsid w:val="00AF04FB"/>
    <w:rsid w:val="00AF34E2"/>
    <w:rsid w:val="00AF4D63"/>
    <w:rsid w:val="00AF50D4"/>
    <w:rsid w:val="00AF7624"/>
    <w:rsid w:val="00B014F5"/>
    <w:rsid w:val="00B03972"/>
    <w:rsid w:val="00B04BBA"/>
    <w:rsid w:val="00B12121"/>
    <w:rsid w:val="00B12487"/>
    <w:rsid w:val="00B12DAF"/>
    <w:rsid w:val="00B13EFF"/>
    <w:rsid w:val="00B1498C"/>
    <w:rsid w:val="00B14D3C"/>
    <w:rsid w:val="00B156C1"/>
    <w:rsid w:val="00B161A4"/>
    <w:rsid w:val="00B16F07"/>
    <w:rsid w:val="00B209E9"/>
    <w:rsid w:val="00B21359"/>
    <w:rsid w:val="00B22743"/>
    <w:rsid w:val="00B23E3C"/>
    <w:rsid w:val="00B243C2"/>
    <w:rsid w:val="00B25472"/>
    <w:rsid w:val="00B26728"/>
    <w:rsid w:val="00B27D82"/>
    <w:rsid w:val="00B31DEE"/>
    <w:rsid w:val="00B33F2B"/>
    <w:rsid w:val="00B34176"/>
    <w:rsid w:val="00B34A99"/>
    <w:rsid w:val="00B37B7B"/>
    <w:rsid w:val="00B41338"/>
    <w:rsid w:val="00B41B31"/>
    <w:rsid w:val="00B459A2"/>
    <w:rsid w:val="00B51759"/>
    <w:rsid w:val="00B5458E"/>
    <w:rsid w:val="00B56EF2"/>
    <w:rsid w:val="00B60BF0"/>
    <w:rsid w:val="00B65F94"/>
    <w:rsid w:val="00B66B73"/>
    <w:rsid w:val="00B71A52"/>
    <w:rsid w:val="00B743C9"/>
    <w:rsid w:val="00B76240"/>
    <w:rsid w:val="00B76A63"/>
    <w:rsid w:val="00B8014A"/>
    <w:rsid w:val="00B81F6A"/>
    <w:rsid w:val="00B83080"/>
    <w:rsid w:val="00B85337"/>
    <w:rsid w:val="00B86BE7"/>
    <w:rsid w:val="00B877E2"/>
    <w:rsid w:val="00B87B2E"/>
    <w:rsid w:val="00B91DBE"/>
    <w:rsid w:val="00B95377"/>
    <w:rsid w:val="00B95ACE"/>
    <w:rsid w:val="00B9698F"/>
    <w:rsid w:val="00B96DEF"/>
    <w:rsid w:val="00BA0C14"/>
    <w:rsid w:val="00BA6500"/>
    <w:rsid w:val="00BB0450"/>
    <w:rsid w:val="00BB0EE5"/>
    <w:rsid w:val="00BB1014"/>
    <w:rsid w:val="00BB1894"/>
    <w:rsid w:val="00BB686E"/>
    <w:rsid w:val="00BB6CB6"/>
    <w:rsid w:val="00BB79DE"/>
    <w:rsid w:val="00BC1FCF"/>
    <w:rsid w:val="00BC3F5F"/>
    <w:rsid w:val="00BC6286"/>
    <w:rsid w:val="00BC786C"/>
    <w:rsid w:val="00BC7AD4"/>
    <w:rsid w:val="00BD2D73"/>
    <w:rsid w:val="00BD5FD2"/>
    <w:rsid w:val="00BD6039"/>
    <w:rsid w:val="00BE33C7"/>
    <w:rsid w:val="00BE68EB"/>
    <w:rsid w:val="00BE6FD0"/>
    <w:rsid w:val="00BE7DBA"/>
    <w:rsid w:val="00BF24E6"/>
    <w:rsid w:val="00BF764A"/>
    <w:rsid w:val="00C05AE2"/>
    <w:rsid w:val="00C062D1"/>
    <w:rsid w:val="00C06AF0"/>
    <w:rsid w:val="00C10D09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1CE5"/>
    <w:rsid w:val="00C237DA"/>
    <w:rsid w:val="00C25044"/>
    <w:rsid w:val="00C26BAF"/>
    <w:rsid w:val="00C26E30"/>
    <w:rsid w:val="00C27917"/>
    <w:rsid w:val="00C300FB"/>
    <w:rsid w:val="00C31375"/>
    <w:rsid w:val="00C31DAB"/>
    <w:rsid w:val="00C32C96"/>
    <w:rsid w:val="00C34215"/>
    <w:rsid w:val="00C363EB"/>
    <w:rsid w:val="00C37C77"/>
    <w:rsid w:val="00C40663"/>
    <w:rsid w:val="00C4130C"/>
    <w:rsid w:val="00C421F2"/>
    <w:rsid w:val="00C43ADB"/>
    <w:rsid w:val="00C45259"/>
    <w:rsid w:val="00C456C9"/>
    <w:rsid w:val="00C45C29"/>
    <w:rsid w:val="00C53097"/>
    <w:rsid w:val="00C53912"/>
    <w:rsid w:val="00C54806"/>
    <w:rsid w:val="00C55691"/>
    <w:rsid w:val="00C613D8"/>
    <w:rsid w:val="00C62B3B"/>
    <w:rsid w:val="00C64979"/>
    <w:rsid w:val="00C7032E"/>
    <w:rsid w:val="00C7382D"/>
    <w:rsid w:val="00C739A6"/>
    <w:rsid w:val="00C74110"/>
    <w:rsid w:val="00C767EB"/>
    <w:rsid w:val="00C7785C"/>
    <w:rsid w:val="00C81D76"/>
    <w:rsid w:val="00C8278E"/>
    <w:rsid w:val="00C85CC4"/>
    <w:rsid w:val="00C87652"/>
    <w:rsid w:val="00C87920"/>
    <w:rsid w:val="00C90CC9"/>
    <w:rsid w:val="00C91D20"/>
    <w:rsid w:val="00C92A9C"/>
    <w:rsid w:val="00C92DF4"/>
    <w:rsid w:val="00C946CA"/>
    <w:rsid w:val="00CA1574"/>
    <w:rsid w:val="00CA2496"/>
    <w:rsid w:val="00CA2616"/>
    <w:rsid w:val="00CA2884"/>
    <w:rsid w:val="00CA456D"/>
    <w:rsid w:val="00CA4666"/>
    <w:rsid w:val="00CB005B"/>
    <w:rsid w:val="00CB0B01"/>
    <w:rsid w:val="00CB0B59"/>
    <w:rsid w:val="00CB2A6C"/>
    <w:rsid w:val="00CB54FA"/>
    <w:rsid w:val="00CB6E21"/>
    <w:rsid w:val="00CC0FB5"/>
    <w:rsid w:val="00CC3CB2"/>
    <w:rsid w:val="00CC49DA"/>
    <w:rsid w:val="00CC6D53"/>
    <w:rsid w:val="00CC6F3F"/>
    <w:rsid w:val="00CD2D66"/>
    <w:rsid w:val="00CD3363"/>
    <w:rsid w:val="00CD3AEF"/>
    <w:rsid w:val="00CD5066"/>
    <w:rsid w:val="00CD6F84"/>
    <w:rsid w:val="00CD7DE2"/>
    <w:rsid w:val="00CE264A"/>
    <w:rsid w:val="00CE487E"/>
    <w:rsid w:val="00CE4E79"/>
    <w:rsid w:val="00CE4EA4"/>
    <w:rsid w:val="00CE5443"/>
    <w:rsid w:val="00CE5ACE"/>
    <w:rsid w:val="00CE673C"/>
    <w:rsid w:val="00CE72F4"/>
    <w:rsid w:val="00CE765F"/>
    <w:rsid w:val="00CF0D85"/>
    <w:rsid w:val="00CF1F10"/>
    <w:rsid w:val="00CF2216"/>
    <w:rsid w:val="00CF2B06"/>
    <w:rsid w:val="00CF59BE"/>
    <w:rsid w:val="00CF5AC0"/>
    <w:rsid w:val="00CF685F"/>
    <w:rsid w:val="00CF7E3F"/>
    <w:rsid w:val="00D0054C"/>
    <w:rsid w:val="00D016DA"/>
    <w:rsid w:val="00D0174C"/>
    <w:rsid w:val="00D01EA8"/>
    <w:rsid w:val="00D0472B"/>
    <w:rsid w:val="00D11108"/>
    <w:rsid w:val="00D158E4"/>
    <w:rsid w:val="00D167B6"/>
    <w:rsid w:val="00D200E5"/>
    <w:rsid w:val="00D216CB"/>
    <w:rsid w:val="00D22B9A"/>
    <w:rsid w:val="00D23734"/>
    <w:rsid w:val="00D2380E"/>
    <w:rsid w:val="00D353A7"/>
    <w:rsid w:val="00D35912"/>
    <w:rsid w:val="00D3642D"/>
    <w:rsid w:val="00D375BD"/>
    <w:rsid w:val="00D375DA"/>
    <w:rsid w:val="00D37793"/>
    <w:rsid w:val="00D37E7A"/>
    <w:rsid w:val="00D40EF6"/>
    <w:rsid w:val="00D4108D"/>
    <w:rsid w:val="00D4128B"/>
    <w:rsid w:val="00D42484"/>
    <w:rsid w:val="00D424CF"/>
    <w:rsid w:val="00D44E93"/>
    <w:rsid w:val="00D51996"/>
    <w:rsid w:val="00D54591"/>
    <w:rsid w:val="00D60B3D"/>
    <w:rsid w:val="00D63902"/>
    <w:rsid w:val="00D63D5B"/>
    <w:rsid w:val="00D6780D"/>
    <w:rsid w:val="00D71090"/>
    <w:rsid w:val="00D7199B"/>
    <w:rsid w:val="00D72045"/>
    <w:rsid w:val="00D74144"/>
    <w:rsid w:val="00D747EF"/>
    <w:rsid w:val="00D747F0"/>
    <w:rsid w:val="00D75385"/>
    <w:rsid w:val="00D76D36"/>
    <w:rsid w:val="00D8157F"/>
    <w:rsid w:val="00D872A3"/>
    <w:rsid w:val="00D874EB"/>
    <w:rsid w:val="00D8779F"/>
    <w:rsid w:val="00D904CD"/>
    <w:rsid w:val="00D90A34"/>
    <w:rsid w:val="00D91578"/>
    <w:rsid w:val="00D97F5B"/>
    <w:rsid w:val="00DA1CBB"/>
    <w:rsid w:val="00DA2C88"/>
    <w:rsid w:val="00DA302B"/>
    <w:rsid w:val="00DA328F"/>
    <w:rsid w:val="00DB3769"/>
    <w:rsid w:val="00DB7FD4"/>
    <w:rsid w:val="00DB7FE1"/>
    <w:rsid w:val="00DC0F6B"/>
    <w:rsid w:val="00DC2220"/>
    <w:rsid w:val="00DC336A"/>
    <w:rsid w:val="00DC61BA"/>
    <w:rsid w:val="00DC6B28"/>
    <w:rsid w:val="00DD1D1B"/>
    <w:rsid w:val="00DD540A"/>
    <w:rsid w:val="00DD5636"/>
    <w:rsid w:val="00DE06BC"/>
    <w:rsid w:val="00DE2C15"/>
    <w:rsid w:val="00DE31D4"/>
    <w:rsid w:val="00DE31EA"/>
    <w:rsid w:val="00DE35B3"/>
    <w:rsid w:val="00DE38AF"/>
    <w:rsid w:val="00DE6230"/>
    <w:rsid w:val="00DF0739"/>
    <w:rsid w:val="00DF1564"/>
    <w:rsid w:val="00DF25CD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21FDE"/>
    <w:rsid w:val="00E23BD4"/>
    <w:rsid w:val="00E24CE4"/>
    <w:rsid w:val="00E252F6"/>
    <w:rsid w:val="00E25726"/>
    <w:rsid w:val="00E31B0A"/>
    <w:rsid w:val="00E3569C"/>
    <w:rsid w:val="00E42168"/>
    <w:rsid w:val="00E43D68"/>
    <w:rsid w:val="00E47C0A"/>
    <w:rsid w:val="00E57E3B"/>
    <w:rsid w:val="00E6118D"/>
    <w:rsid w:val="00E6216F"/>
    <w:rsid w:val="00E62461"/>
    <w:rsid w:val="00E63469"/>
    <w:rsid w:val="00E63687"/>
    <w:rsid w:val="00E67B30"/>
    <w:rsid w:val="00E67E9C"/>
    <w:rsid w:val="00E7050E"/>
    <w:rsid w:val="00E708EC"/>
    <w:rsid w:val="00E7114D"/>
    <w:rsid w:val="00E73183"/>
    <w:rsid w:val="00E73FFD"/>
    <w:rsid w:val="00E75AAF"/>
    <w:rsid w:val="00E76099"/>
    <w:rsid w:val="00E77490"/>
    <w:rsid w:val="00E77575"/>
    <w:rsid w:val="00E779CA"/>
    <w:rsid w:val="00E77BBD"/>
    <w:rsid w:val="00E77EF3"/>
    <w:rsid w:val="00E83D6D"/>
    <w:rsid w:val="00E8488E"/>
    <w:rsid w:val="00E860DE"/>
    <w:rsid w:val="00E861CD"/>
    <w:rsid w:val="00E9041D"/>
    <w:rsid w:val="00E91109"/>
    <w:rsid w:val="00E93D1D"/>
    <w:rsid w:val="00E94AF9"/>
    <w:rsid w:val="00E95735"/>
    <w:rsid w:val="00E95835"/>
    <w:rsid w:val="00E97E7C"/>
    <w:rsid w:val="00EA0C56"/>
    <w:rsid w:val="00EA0DB6"/>
    <w:rsid w:val="00EA17EE"/>
    <w:rsid w:val="00EA1EFE"/>
    <w:rsid w:val="00EA2428"/>
    <w:rsid w:val="00EA25CA"/>
    <w:rsid w:val="00EA6556"/>
    <w:rsid w:val="00EA6E6D"/>
    <w:rsid w:val="00EA7D8A"/>
    <w:rsid w:val="00EA7F85"/>
    <w:rsid w:val="00EB3981"/>
    <w:rsid w:val="00EB3C99"/>
    <w:rsid w:val="00EB3D0F"/>
    <w:rsid w:val="00EB7FEB"/>
    <w:rsid w:val="00EC1C78"/>
    <w:rsid w:val="00EC31D3"/>
    <w:rsid w:val="00EC4161"/>
    <w:rsid w:val="00EC41EF"/>
    <w:rsid w:val="00EC7D46"/>
    <w:rsid w:val="00ED0853"/>
    <w:rsid w:val="00ED0C2D"/>
    <w:rsid w:val="00ED1426"/>
    <w:rsid w:val="00ED21A0"/>
    <w:rsid w:val="00ED2456"/>
    <w:rsid w:val="00ED44DC"/>
    <w:rsid w:val="00ED750A"/>
    <w:rsid w:val="00EE012A"/>
    <w:rsid w:val="00EE2526"/>
    <w:rsid w:val="00EE3C4B"/>
    <w:rsid w:val="00EE65C9"/>
    <w:rsid w:val="00EF0F8B"/>
    <w:rsid w:val="00EF1312"/>
    <w:rsid w:val="00EF1C91"/>
    <w:rsid w:val="00EF69E9"/>
    <w:rsid w:val="00F01EB5"/>
    <w:rsid w:val="00F050FA"/>
    <w:rsid w:val="00F05138"/>
    <w:rsid w:val="00F105B0"/>
    <w:rsid w:val="00F11497"/>
    <w:rsid w:val="00F14717"/>
    <w:rsid w:val="00F2313C"/>
    <w:rsid w:val="00F24DAB"/>
    <w:rsid w:val="00F25E8A"/>
    <w:rsid w:val="00F30883"/>
    <w:rsid w:val="00F3097C"/>
    <w:rsid w:val="00F30B30"/>
    <w:rsid w:val="00F315FD"/>
    <w:rsid w:val="00F318CE"/>
    <w:rsid w:val="00F32B40"/>
    <w:rsid w:val="00F35B26"/>
    <w:rsid w:val="00F35B8F"/>
    <w:rsid w:val="00F35F28"/>
    <w:rsid w:val="00F40B65"/>
    <w:rsid w:val="00F440C2"/>
    <w:rsid w:val="00F4475E"/>
    <w:rsid w:val="00F46A8D"/>
    <w:rsid w:val="00F46FB1"/>
    <w:rsid w:val="00F47ECC"/>
    <w:rsid w:val="00F52266"/>
    <w:rsid w:val="00F53BD8"/>
    <w:rsid w:val="00F54E9D"/>
    <w:rsid w:val="00F572CE"/>
    <w:rsid w:val="00F6075A"/>
    <w:rsid w:val="00F611F1"/>
    <w:rsid w:val="00F62829"/>
    <w:rsid w:val="00F63D60"/>
    <w:rsid w:val="00F66724"/>
    <w:rsid w:val="00F70801"/>
    <w:rsid w:val="00F70AF1"/>
    <w:rsid w:val="00F71F69"/>
    <w:rsid w:val="00F72592"/>
    <w:rsid w:val="00F74598"/>
    <w:rsid w:val="00F81DE5"/>
    <w:rsid w:val="00F821C7"/>
    <w:rsid w:val="00F8446E"/>
    <w:rsid w:val="00F8520A"/>
    <w:rsid w:val="00F871E5"/>
    <w:rsid w:val="00F87CD3"/>
    <w:rsid w:val="00F905E9"/>
    <w:rsid w:val="00F924BF"/>
    <w:rsid w:val="00F9290C"/>
    <w:rsid w:val="00F95E2A"/>
    <w:rsid w:val="00F96156"/>
    <w:rsid w:val="00FA0B62"/>
    <w:rsid w:val="00FA0EFD"/>
    <w:rsid w:val="00FA23EF"/>
    <w:rsid w:val="00FA4AF6"/>
    <w:rsid w:val="00FA4E6D"/>
    <w:rsid w:val="00FA5589"/>
    <w:rsid w:val="00FA6586"/>
    <w:rsid w:val="00FB0494"/>
    <w:rsid w:val="00FB06A5"/>
    <w:rsid w:val="00FB648D"/>
    <w:rsid w:val="00FC170C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35E4"/>
    <w:rsid w:val="00FE4D77"/>
    <w:rsid w:val="00FE5FF4"/>
    <w:rsid w:val="00FE7493"/>
    <w:rsid w:val="00FF1E8E"/>
    <w:rsid w:val="00FF38F6"/>
    <w:rsid w:val="00FF3D08"/>
    <w:rsid w:val="00FF76B9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docId w15:val="{78F09CF1-F9EA-482F-B5D9-B6B021CC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1">
    <w:name w:val="Recuo de corpo de texto 21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6844-EBA5-48A7-9FBF-A8501854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1500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subject/>
  <dc:creator>MB ARQUITETURA</dc:creator>
  <cp:keywords/>
  <dc:description/>
  <cp:lastModifiedBy>Deilson Pires Cavalcante</cp:lastModifiedBy>
  <cp:revision>2</cp:revision>
  <cp:lastPrinted>2013-09-17T16:55:00Z</cp:lastPrinted>
  <dcterms:created xsi:type="dcterms:W3CDTF">2015-09-01T11:07:00Z</dcterms:created>
  <dcterms:modified xsi:type="dcterms:W3CDTF">2015-09-01T11:07:00Z</dcterms:modified>
</cp:coreProperties>
</file>